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86AC7" w14:textId="77777777" w:rsidR="004547B3" w:rsidRPr="00AF77B7" w:rsidRDefault="004547B3" w:rsidP="002D59F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</w:rPr>
      </w:pPr>
    </w:p>
    <w:p w14:paraId="18B54909" w14:textId="77777777" w:rsidR="004547B3" w:rsidRPr="00AF77B7" w:rsidRDefault="004547B3" w:rsidP="002D59F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</w:rPr>
      </w:pPr>
      <w:r w:rsidRPr="00AF77B7">
        <w:rPr>
          <w:rFonts w:ascii="Arial" w:hAnsi="Arial" w:cs="Arial"/>
          <w:b/>
          <w:bCs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6BBB1DC6" wp14:editId="04722434">
            <wp:simplePos x="0" y="0"/>
            <wp:positionH relativeFrom="column">
              <wp:posOffset>3623945</wp:posOffset>
            </wp:positionH>
            <wp:positionV relativeFrom="paragraph">
              <wp:posOffset>-495300</wp:posOffset>
            </wp:positionV>
            <wp:extent cx="998688" cy="902335"/>
            <wp:effectExtent l="0" t="0" r="0" b="0"/>
            <wp:wrapNone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8688" cy="9023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BF91BE" w14:textId="77777777" w:rsidR="004547B3" w:rsidRPr="00AF77B7" w:rsidRDefault="004547B3" w:rsidP="002D59F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</w:rPr>
      </w:pPr>
    </w:p>
    <w:p w14:paraId="39471E0F" w14:textId="77777777" w:rsidR="004547B3" w:rsidRPr="00AF77B7" w:rsidRDefault="004547B3" w:rsidP="002D59F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</w:rPr>
      </w:pPr>
    </w:p>
    <w:p w14:paraId="7858FEFC" w14:textId="77777777" w:rsidR="004547B3" w:rsidRPr="00AF77B7" w:rsidRDefault="004547B3" w:rsidP="002D59F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</w:rPr>
      </w:pP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4995"/>
        <w:gridCol w:w="4987"/>
      </w:tblGrid>
      <w:tr w:rsidR="004547B3" w:rsidRPr="00AF77B7" w14:paraId="00D9AB3C" w14:textId="77777777" w:rsidTr="00D13C88">
        <w:trPr>
          <w:trHeight w:val="483"/>
        </w:trPr>
        <w:tc>
          <w:tcPr>
            <w:tcW w:w="4995" w:type="dxa"/>
          </w:tcPr>
          <w:p w14:paraId="093B0C13" w14:textId="77777777" w:rsidR="004547B3" w:rsidRPr="00AF77B7" w:rsidRDefault="004547B3" w:rsidP="002D59F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sz w:val="20"/>
              </w:rPr>
            </w:pPr>
            <w:r w:rsidRPr="00AF77B7">
              <w:rPr>
                <w:rFonts w:ascii="Arial" w:hAnsi="Arial" w:cs="Arial"/>
                <w:b/>
                <w:sz w:val="20"/>
              </w:rPr>
              <w:t>Direction de la recherche, des études, de l'évaluation et des statistiques</w:t>
            </w:r>
          </w:p>
          <w:p w14:paraId="394AF890" w14:textId="77777777" w:rsidR="004547B3" w:rsidRPr="00AF77B7" w:rsidRDefault="004547B3" w:rsidP="002D59F1">
            <w:pPr>
              <w:widowControl w:val="0"/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sz w:val="18"/>
              </w:rPr>
            </w:pPr>
            <w:r w:rsidRPr="00AF77B7">
              <w:rPr>
                <w:rFonts w:ascii="Arial" w:hAnsi="Arial" w:cs="Arial"/>
                <w:b/>
                <w:sz w:val="18"/>
              </w:rPr>
              <w:t>Sous-direction de l'observation de la solidarité</w:t>
            </w:r>
          </w:p>
          <w:p w14:paraId="0C2E86FB" w14:textId="77777777" w:rsidR="004547B3" w:rsidRPr="00AF77B7" w:rsidRDefault="004547B3" w:rsidP="002D59F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18"/>
                <w:szCs w:val="16"/>
              </w:rPr>
            </w:pPr>
            <w:r w:rsidRPr="00AF77B7">
              <w:rPr>
                <w:rFonts w:ascii="Arial" w:hAnsi="Arial" w:cs="Arial"/>
                <w:sz w:val="18"/>
                <w:szCs w:val="16"/>
              </w:rPr>
              <w:t xml:space="preserve">Bureau de la lutte contre l'exclusion </w:t>
            </w:r>
          </w:p>
          <w:p w14:paraId="6FFCF66A" w14:textId="77777777" w:rsidR="004547B3" w:rsidRPr="00AF77B7" w:rsidRDefault="004547B3" w:rsidP="002D59F1">
            <w:pPr>
              <w:widowControl w:val="0"/>
              <w:autoSpaceDE w:val="0"/>
              <w:autoSpaceDN w:val="0"/>
              <w:jc w:val="both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4987" w:type="dxa"/>
          </w:tcPr>
          <w:p w14:paraId="5686394B" w14:textId="5F0C5280" w:rsidR="004547B3" w:rsidRPr="00AF77B7" w:rsidRDefault="004547B3" w:rsidP="002D59F1">
            <w:pPr>
              <w:widowControl w:val="0"/>
              <w:autoSpaceDE w:val="0"/>
              <w:autoSpaceDN w:val="0"/>
              <w:spacing w:line="276" w:lineRule="auto"/>
              <w:ind w:left="1662"/>
              <w:jc w:val="both"/>
              <w:rPr>
                <w:rFonts w:ascii="Arial" w:hAnsi="Arial" w:cs="Arial"/>
                <w:sz w:val="20"/>
              </w:rPr>
            </w:pPr>
            <w:r w:rsidRPr="00AF77B7">
              <w:rPr>
                <w:rFonts w:ascii="Arial" w:hAnsi="Arial" w:cs="Arial"/>
                <w:sz w:val="20"/>
              </w:rPr>
              <w:t xml:space="preserve">Paris, le </w:t>
            </w:r>
            <w:r w:rsidR="00BA5EDE">
              <w:rPr>
                <w:rFonts w:ascii="Arial" w:hAnsi="Arial" w:cs="Arial"/>
                <w:sz w:val="20"/>
              </w:rPr>
              <w:t>13 juin</w:t>
            </w:r>
            <w:r>
              <w:rPr>
                <w:rFonts w:ascii="Arial" w:hAnsi="Arial" w:cs="Arial"/>
                <w:sz w:val="20"/>
              </w:rPr>
              <w:t xml:space="preserve"> 202</w:t>
            </w:r>
            <w:r w:rsidR="00E56E60">
              <w:rPr>
                <w:rFonts w:ascii="Arial" w:hAnsi="Arial" w:cs="Arial"/>
                <w:sz w:val="20"/>
              </w:rPr>
              <w:t>5</w:t>
            </w:r>
          </w:p>
          <w:p w14:paraId="7650C497" w14:textId="54ADB8CE" w:rsidR="004547B3" w:rsidRPr="00AF77B7" w:rsidRDefault="004547B3" w:rsidP="002D59F1">
            <w:pPr>
              <w:widowControl w:val="0"/>
              <w:autoSpaceDE w:val="0"/>
              <w:autoSpaceDN w:val="0"/>
              <w:spacing w:line="276" w:lineRule="auto"/>
              <w:ind w:left="1662"/>
              <w:jc w:val="both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DREES-BLEX N°</w:t>
            </w:r>
            <w:r w:rsidR="00352673">
              <w:rPr>
                <w:rFonts w:ascii="Arial" w:hAnsi="Arial" w:cs="Arial"/>
                <w:sz w:val="20"/>
              </w:rPr>
              <w:t xml:space="preserve"> </w:t>
            </w:r>
            <w:r w:rsidR="006323E2">
              <w:rPr>
                <w:rFonts w:ascii="Arial" w:hAnsi="Arial" w:cs="Arial"/>
                <w:sz w:val="20"/>
              </w:rPr>
              <w:t>2</w:t>
            </w:r>
            <w:r w:rsidR="009D1679">
              <w:rPr>
                <w:rFonts w:ascii="Arial" w:hAnsi="Arial" w:cs="Arial"/>
                <w:sz w:val="20"/>
              </w:rPr>
              <w:t>5</w:t>
            </w:r>
            <w:r w:rsidR="00352673">
              <w:rPr>
                <w:rFonts w:ascii="Arial" w:hAnsi="Arial" w:cs="Arial"/>
                <w:sz w:val="20"/>
              </w:rPr>
              <w:t>-04</w:t>
            </w:r>
          </w:p>
          <w:p w14:paraId="1392C69A" w14:textId="77777777" w:rsidR="004547B3" w:rsidRPr="00AF77B7" w:rsidRDefault="004547B3" w:rsidP="002D59F1">
            <w:pPr>
              <w:widowControl w:val="0"/>
              <w:autoSpaceDE w:val="0"/>
              <w:autoSpaceDN w:val="0"/>
              <w:spacing w:line="276" w:lineRule="auto"/>
              <w:ind w:left="1662"/>
              <w:jc w:val="both"/>
              <w:rPr>
                <w:rFonts w:ascii="Arial" w:hAnsi="Arial" w:cs="Arial"/>
                <w:sz w:val="20"/>
              </w:rPr>
            </w:pPr>
          </w:p>
        </w:tc>
      </w:tr>
    </w:tbl>
    <w:p w14:paraId="398AD37F" w14:textId="77777777" w:rsidR="004547B3" w:rsidRPr="00AF77B7" w:rsidRDefault="004547B3" w:rsidP="002D59F1">
      <w:pPr>
        <w:tabs>
          <w:tab w:val="left" w:pos="426"/>
          <w:tab w:val="left" w:pos="851"/>
        </w:tabs>
        <w:jc w:val="both"/>
        <w:rPr>
          <w:rFonts w:ascii="Arial" w:eastAsia="Times New Roman" w:hAnsi="Arial" w:cs="Arial"/>
          <w:sz w:val="16"/>
          <w:szCs w:val="16"/>
          <w:lang w:eastAsia="fr-FR"/>
        </w:rPr>
      </w:pPr>
      <w:r w:rsidRPr="00AF77B7">
        <w:rPr>
          <w:rFonts w:ascii="Arial" w:eastAsia="Times New Roman" w:hAnsi="Arial" w:cs="Arial"/>
          <w:sz w:val="16"/>
          <w:szCs w:val="16"/>
          <w:lang w:eastAsia="fr-FR"/>
        </w:rPr>
        <w:t>Dossier suivi par : Carole Lardoux</w:t>
      </w:r>
    </w:p>
    <w:p w14:paraId="1DE0798B" w14:textId="77777777" w:rsidR="004547B3" w:rsidRPr="00132401" w:rsidRDefault="004547B3" w:rsidP="002D59F1">
      <w:pPr>
        <w:tabs>
          <w:tab w:val="left" w:pos="426"/>
          <w:tab w:val="left" w:pos="851"/>
        </w:tabs>
        <w:jc w:val="both"/>
        <w:rPr>
          <w:rFonts w:ascii="Arial" w:eastAsia="Times New Roman" w:hAnsi="Arial" w:cs="Times New Roman"/>
          <w:sz w:val="16"/>
          <w:szCs w:val="20"/>
          <w:u w:val="single" w:color="0000FF"/>
          <w:lang w:eastAsia="fr-FR"/>
        </w:rPr>
      </w:pPr>
      <w:r w:rsidRPr="00AF77B7">
        <w:rPr>
          <w:rFonts w:ascii="Arial" w:eastAsia="Times New Roman" w:hAnsi="Arial" w:cs="Arial"/>
          <w:sz w:val="16"/>
          <w:szCs w:val="16"/>
          <w:lang w:eastAsia="fr-FR"/>
        </w:rPr>
        <w:t>Mail: carole.lardoux@externes</w:t>
      </w:r>
      <w:r w:rsidRPr="00AF77B7">
        <w:rPr>
          <w:rFonts w:ascii="Arial" w:eastAsia="Times New Roman" w:hAnsi="Arial" w:cs="Times New Roman"/>
          <w:sz w:val="16"/>
          <w:szCs w:val="20"/>
          <w:lang w:eastAsia="fr-FR"/>
        </w:rPr>
        <w:t xml:space="preserve">.sante.gouv.fr </w:t>
      </w:r>
    </w:p>
    <w:p w14:paraId="47A39699" w14:textId="77777777" w:rsidR="004547B3" w:rsidRPr="00AF77B7" w:rsidRDefault="004547B3" w:rsidP="002D59F1">
      <w:pPr>
        <w:tabs>
          <w:tab w:val="left" w:pos="426"/>
          <w:tab w:val="left" w:pos="851"/>
        </w:tabs>
        <w:jc w:val="both"/>
        <w:rPr>
          <w:rFonts w:ascii="Arial" w:eastAsia="Times New Roman" w:hAnsi="Arial" w:cs="Times New Roman"/>
          <w:sz w:val="16"/>
          <w:szCs w:val="20"/>
          <w:lang w:eastAsia="fr-FR"/>
        </w:rPr>
      </w:pPr>
    </w:p>
    <w:p w14:paraId="69D541E6" w14:textId="77777777" w:rsidR="004547B3" w:rsidRPr="00AF77B7" w:rsidRDefault="004547B3" w:rsidP="002D59F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</w:rPr>
      </w:pPr>
    </w:p>
    <w:p w14:paraId="354DF7FC" w14:textId="77777777" w:rsidR="004547B3" w:rsidRPr="00AF77B7" w:rsidRDefault="004547B3" w:rsidP="002D59F1">
      <w:pPr>
        <w:widowControl w:val="0"/>
        <w:autoSpaceDE w:val="0"/>
        <w:autoSpaceDN w:val="0"/>
        <w:spacing w:line="276" w:lineRule="auto"/>
        <w:jc w:val="both"/>
        <w:rPr>
          <w:rFonts w:ascii="Arial" w:hAnsi="Arial" w:cs="Arial"/>
          <w:sz w:val="20"/>
        </w:rPr>
      </w:pPr>
    </w:p>
    <w:p w14:paraId="0B2F59D0" w14:textId="3227365C" w:rsidR="004547B3" w:rsidRPr="00AF77B7" w:rsidRDefault="004547B3" w:rsidP="002D59F1">
      <w:pPr>
        <w:spacing w:line="276" w:lineRule="auto"/>
        <w:jc w:val="both"/>
        <w:rPr>
          <w:rFonts w:eastAsia="Times New Roman"/>
          <w:b/>
          <w:sz w:val="24"/>
          <w:szCs w:val="24"/>
          <w:lang w:eastAsia="fr-FR"/>
        </w:rPr>
      </w:pPr>
      <w:r w:rsidRPr="00AF77B7">
        <w:rPr>
          <w:rFonts w:eastAsia="Times New Roman"/>
          <w:b/>
          <w:sz w:val="24"/>
          <w:szCs w:val="24"/>
          <w:lang w:eastAsia="fr-FR"/>
        </w:rPr>
        <w:t xml:space="preserve">Objet : Compte-rendu de la </w:t>
      </w:r>
      <w:r>
        <w:rPr>
          <w:rFonts w:eastAsia="Times New Roman"/>
          <w:b/>
          <w:sz w:val="24"/>
          <w:szCs w:val="24"/>
          <w:lang w:eastAsia="fr-FR"/>
        </w:rPr>
        <w:t>1</w:t>
      </w:r>
      <w:r w:rsidR="009D1679">
        <w:rPr>
          <w:rFonts w:eastAsia="Times New Roman"/>
          <w:b/>
          <w:sz w:val="24"/>
          <w:szCs w:val="24"/>
          <w:lang w:eastAsia="fr-FR"/>
        </w:rPr>
        <w:t>2</w:t>
      </w:r>
      <w:r w:rsidRPr="00AF77B7">
        <w:rPr>
          <w:rFonts w:eastAsia="Times New Roman"/>
          <w:b/>
          <w:sz w:val="24"/>
          <w:szCs w:val="24"/>
          <w:vertAlign w:val="superscript"/>
          <w:lang w:eastAsia="fr-FR"/>
        </w:rPr>
        <w:t>ème</w:t>
      </w:r>
      <w:r w:rsidRPr="00AF77B7">
        <w:rPr>
          <w:rFonts w:eastAsia="Times New Roman"/>
          <w:b/>
          <w:sz w:val="24"/>
          <w:szCs w:val="24"/>
          <w:lang w:eastAsia="fr-FR"/>
        </w:rPr>
        <w:t xml:space="preserve"> réunion du groupe d’études « analyses quantitatives sur l’hébergement social et les sans-domicile » - </w:t>
      </w:r>
      <w:r w:rsidR="00BA5EDE">
        <w:rPr>
          <w:rFonts w:eastAsia="Times New Roman"/>
          <w:b/>
          <w:sz w:val="24"/>
          <w:szCs w:val="24"/>
          <w:lang w:eastAsia="fr-FR"/>
        </w:rPr>
        <w:t>13</w:t>
      </w:r>
      <w:r w:rsidR="009D1679">
        <w:rPr>
          <w:rFonts w:eastAsia="Times New Roman"/>
          <w:b/>
          <w:sz w:val="24"/>
          <w:szCs w:val="24"/>
          <w:lang w:eastAsia="fr-FR"/>
        </w:rPr>
        <w:t xml:space="preserve"> </w:t>
      </w:r>
      <w:r w:rsidR="00BA5EDE">
        <w:rPr>
          <w:rFonts w:eastAsia="Times New Roman"/>
          <w:b/>
          <w:sz w:val="24"/>
          <w:szCs w:val="24"/>
          <w:lang w:eastAsia="fr-FR"/>
        </w:rPr>
        <w:t>juin</w:t>
      </w:r>
      <w:r>
        <w:rPr>
          <w:rFonts w:eastAsia="Times New Roman"/>
          <w:b/>
          <w:sz w:val="24"/>
          <w:szCs w:val="24"/>
          <w:lang w:eastAsia="fr-FR"/>
        </w:rPr>
        <w:t xml:space="preserve"> 202</w:t>
      </w:r>
      <w:r w:rsidR="009D1679">
        <w:rPr>
          <w:rFonts w:eastAsia="Times New Roman"/>
          <w:b/>
          <w:sz w:val="24"/>
          <w:szCs w:val="24"/>
          <w:lang w:eastAsia="fr-FR"/>
        </w:rPr>
        <w:t>5</w:t>
      </w:r>
    </w:p>
    <w:p w14:paraId="32953D2E" w14:textId="77777777" w:rsidR="004547B3" w:rsidRDefault="004547B3" w:rsidP="002D59F1">
      <w:pPr>
        <w:jc w:val="both"/>
      </w:pPr>
    </w:p>
    <w:p w14:paraId="19182F4A" w14:textId="56CE2C36" w:rsidR="009D1679" w:rsidRDefault="009D1679" w:rsidP="009D1679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Les interventions sont :</w:t>
      </w:r>
    </w:p>
    <w:p w14:paraId="13C33427" w14:textId="54BCA380" w:rsidR="009D1679" w:rsidRDefault="009D1679" w:rsidP="009D1679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- le </w:t>
      </w:r>
      <w:r w:rsidRPr="009D1679">
        <w:rPr>
          <w:rFonts w:asciiTheme="minorHAnsi" w:hAnsiTheme="minorHAnsi" w:cstheme="minorBidi"/>
        </w:rPr>
        <w:t>personnel dans les centres d’hébergement à partir d’ES-DS 2020</w:t>
      </w:r>
      <w:r>
        <w:rPr>
          <w:rFonts w:asciiTheme="minorHAnsi" w:hAnsiTheme="minorHAnsi" w:cstheme="minorBidi"/>
        </w:rPr>
        <w:t xml:space="preserve"> par Eléonore </w:t>
      </w:r>
      <w:r w:rsidR="00352673">
        <w:rPr>
          <w:rFonts w:asciiTheme="minorHAnsi" w:hAnsiTheme="minorHAnsi" w:cstheme="minorBidi"/>
        </w:rPr>
        <w:t xml:space="preserve">Richard </w:t>
      </w:r>
      <w:r>
        <w:rPr>
          <w:rFonts w:asciiTheme="minorHAnsi" w:hAnsiTheme="minorHAnsi" w:cstheme="minorBidi"/>
        </w:rPr>
        <w:t>de la DREES</w:t>
      </w:r>
    </w:p>
    <w:p w14:paraId="1E47B79C" w14:textId="795C933C" w:rsidR="009D1679" w:rsidRDefault="009D1679" w:rsidP="009D1679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- </w:t>
      </w:r>
      <w:r w:rsidR="00352673">
        <w:rPr>
          <w:rFonts w:asciiTheme="minorHAnsi" w:hAnsiTheme="minorHAnsi" w:cstheme="minorBidi"/>
        </w:rPr>
        <w:t xml:space="preserve">parcours et profils des personnes logées en logement accompagné </w:t>
      </w:r>
      <w:r w:rsidR="00685D10">
        <w:rPr>
          <w:rFonts w:asciiTheme="minorHAnsi" w:hAnsiTheme="minorHAnsi" w:cstheme="minorBidi"/>
        </w:rPr>
        <w:t>par</w:t>
      </w:r>
      <w:r>
        <w:rPr>
          <w:rFonts w:asciiTheme="minorHAnsi" w:hAnsiTheme="minorHAnsi" w:cstheme="minorBidi"/>
        </w:rPr>
        <w:t xml:space="preserve"> Antonin Ollivier </w:t>
      </w:r>
      <w:r w:rsidR="003935F1">
        <w:rPr>
          <w:rFonts w:asciiTheme="minorHAnsi" w:hAnsiTheme="minorHAnsi" w:cstheme="minorBidi"/>
        </w:rPr>
        <w:t xml:space="preserve">et Patrick Bodet </w:t>
      </w:r>
      <w:r>
        <w:rPr>
          <w:rFonts w:asciiTheme="minorHAnsi" w:hAnsiTheme="minorHAnsi" w:cstheme="minorBidi"/>
        </w:rPr>
        <w:t>de l’UNAFO</w:t>
      </w:r>
    </w:p>
    <w:p w14:paraId="5A2869E8" w14:textId="08FF9201" w:rsidR="00E70439" w:rsidRDefault="00E70439" w:rsidP="009D1679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 xml:space="preserve">- </w:t>
      </w:r>
      <w:r w:rsidR="00BD38FC" w:rsidRPr="00BD38FC">
        <w:rPr>
          <w:rFonts w:asciiTheme="minorHAnsi" w:hAnsiTheme="minorHAnsi" w:cstheme="minorBidi"/>
        </w:rPr>
        <w:t>l’occupation du parc d’hébergement d’urgence (115) à partir des données du SI-SIAO</w:t>
      </w:r>
      <w:r w:rsidR="00BD38FC">
        <w:rPr>
          <w:rFonts w:asciiTheme="minorHAnsi" w:hAnsiTheme="minorHAnsi" w:cstheme="minorBidi"/>
        </w:rPr>
        <w:t xml:space="preserve"> </w:t>
      </w:r>
      <w:r w:rsidRPr="00E70439">
        <w:rPr>
          <w:rFonts w:asciiTheme="minorHAnsi" w:hAnsiTheme="minorHAnsi" w:cstheme="minorBidi"/>
        </w:rPr>
        <w:t>en Bourgogne-Franche-Comté</w:t>
      </w:r>
      <w:r>
        <w:rPr>
          <w:rFonts w:asciiTheme="minorHAnsi" w:hAnsiTheme="minorHAnsi" w:cstheme="minorBidi"/>
        </w:rPr>
        <w:t xml:space="preserve"> par </w:t>
      </w:r>
      <w:r w:rsidRPr="00E70439">
        <w:rPr>
          <w:rFonts w:asciiTheme="minorHAnsi" w:hAnsiTheme="minorHAnsi" w:cstheme="minorBidi"/>
        </w:rPr>
        <w:t xml:space="preserve">Amandine </w:t>
      </w:r>
      <w:proofErr w:type="spellStart"/>
      <w:r w:rsidRPr="00E70439">
        <w:rPr>
          <w:rFonts w:asciiTheme="minorHAnsi" w:hAnsiTheme="minorHAnsi" w:cstheme="minorBidi"/>
        </w:rPr>
        <w:t>Liagre</w:t>
      </w:r>
      <w:proofErr w:type="spellEnd"/>
      <w:r>
        <w:rPr>
          <w:rFonts w:asciiTheme="minorHAnsi" w:hAnsiTheme="minorHAnsi" w:cstheme="minorBidi"/>
        </w:rPr>
        <w:t xml:space="preserve"> et Rina </w:t>
      </w:r>
      <w:proofErr w:type="spellStart"/>
      <w:r>
        <w:rPr>
          <w:rFonts w:asciiTheme="minorHAnsi" w:hAnsiTheme="minorHAnsi" w:cstheme="minorBidi"/>
        </w:rPr>
        <w:t>Petrequin</w:t>
      </w:r>
      <w:proofErr w:type="spellEnd"/>
    </w:p>
    <w:p w14:paraId="732633DA" w14:textId="77777777" w:rsidR="009D1679" w:rsidRDefault="009D1679" w:rsidP="002D59F1">
      <w:pPr>
        <w:jc w:val="both"/>
      </w:pPr>
    </w:p>
    <w:p w14:paraId="6A13136F" w14:textId="1A3E4FE0" w:rsidR="00A57AF3" w:rsidRDefault="00A57AF3" w:rsidP="002D59F1">
      <w:pPr>
        <w:jc w:val="both"/>
      </w:pPr>
      <w:bookmarkStart w:id="0" w:name="_Hlk189824002"/>
      <w:r>
        <w:t xml:space="preserve">Ce compte-rendu est accompagné des </w:t>
      </w:r>
      <w:r w:rsidR="009921F5">
        <w:t>3</w:t>
      </w:r>
      <w:r w:rsidRPr="00BA5EDE">
        <w:rPr>
          <w:color w:val="FF0000"/>
        </w:rPr>
        <w:t xml:space="preserve"> </w:t>
      </w:r>
      <w:r>
        <w:t xml:space="preserve">supports de présentation et </w:t>
      </w:r>
      <w:r w:rsidR="007B17A1">
        <w:t xml:space="preserve">il comprend </w:t>
      </w:r>
      <w:r w:rsidR="00C27DF7">
        <w:t>l</w:t>
      </w:r>
      <w:r>
        <w:t xml:space="preserve">es liens vers </w:t>
      </w:r>
      <w:r w:rsidR="007B17A1">
        <w:t>d</w:t>
      </w:r>
      <w:r>
        <w:t>es publication</w:t>
      </w:r>
      <w:bookmarkEnd w:id="0"/>
      <w:r w:rsidR="007B17A1">
        <w:t>s</w:t>
      </w:r>
      <w:r>
        <w:t>.</w:t>
      </w:r>
    </w:p>
    <w:p w14:paraId="624B9BBE" w14:textId="77777777" w:rsidR="00A57AF3" w:rsidRDefault="00A57AF3" w:rsidP="002D59F1">
      <w:pPr>
        <w:jc w:val="both"/>
      </w:pPr>
    </w:p>
    <w:p w14:paraId="7FC2D010" w14:textId="5997F083" w:rsidR="004547B3" w:rsidRDefault="00A57AF3" w:rsidP="002D59F1">
      <w:pPr>
        <w:jc w:val="both"/>
      </w:pPr>
      <w:r>
        <w:t>Et p</w:t>
      </w:r>
      <w:r w:rsidR="004547B3">
        <w:t>our rappel, les supports de présentation ainsi que les liens vers les travaux présentés sont disponibles ici :</w:t>
      </w:r>
    </w:p>
    <w:p w14:paraId="6FB4F0D8" w14:textId="77777777" w:rsidR="004547B3" w:rsidRDefault="00AC265E" w:rsidP="002D59F1">
      <w:pPr>
        <w:jc w:val="both"/>
      </w:pPr>
      <w:hyperlink r:id="rId6" w:history="1">
        <w:r w:rsidR="004547B3">
          <w:rPr>
            <w:rStyle w:val="Lienhypertexte"/>
          </w:rPr>
          <w:t>Groupe d'études « analyses quantitatives sur l'hébergement social et les sans-domiciles » | Direction de la recherche, des études, de l'évaluation et des statistiques (solidarites-sante.gouv.fr)</w:t>
        </w:r>
      </w:hyperlink>
    </w:p>
    <w:p w14:paraId="0B887234" w14:textId="77777777" w:rsidR="004547B3" w:rsidRDefault="004547B3" w:rsidP="002D59F1">
      <w:pPr>
        <w:jc w:val="both"/>
      </w:pPr>
    </w:p>
    <w:p w14:paraId="27AD6F55" w14:textId="68C52997" w:rsidR="00D20000" w:rsidRPr="00481177" w:rsidRDefault="00D20000" w:rsidP="002D59F1">
      <w:pPr>
        <w:jc w:val="both"/>
        <w:rPr>
          <w:b/>
          <w:caps/>
          <w:sz w:val="28"/>
          <w:szCs w:val="28"/>
          <w:u w:val="single"/>
        </w:rPr>
      </w:pPr>
      <w:r w:rsidRPr="00481177">
        <w:rPr>
          <w:b/>
          <w:caps/>
          <w:sz w:val="28"/>
          <w:szCs w:val="28"/>
          <w:u w:val="single"/>
        </w:rPr>
        <w:t>Le</w:t>
      </w:r>
      <w:r w:rsidRPr="00481177">
        <w:rPr>
          <w:b/>
          <w:caps/>
          <w:sz w:val="28"/>
          <w:szCs w:val="28"/>
          <w:u w:val="single"/>
        </w:rPr>
        <w:t xml:space="preserve"> personnel dans les centres d’hébergement à partir d’ES-DS 2020 </w:t>
      </w:r>
    </w:p>
    <w:p w14:paraId="4187CC9C" w14:textId="77777777" w:rsidR="00D20000" w:rsidRDefault="00D20000" w:rsidP="002D59F1">
      <w:pPr>
        <w:jc w:val="both"/>
      </w:pPr>
    </w:p>
    <w:p w14:paraId="5F4755EB" w14:textId="07E8F183" w:rsidR="004547B3" w:rsidRDefault="004547B3" w:rsidP="002D59F1">
      <w:pPr>
        <w:jc w:val="both"/>
      </w:pPr>
      <w:r w:rsidRPr="00EE1337">
        <w:rPr>
          <w:b/>
          <w:bCs/>
        </w:rPr>
        <w:t>Présentation</w:t>
      </w:r>
      <w:r>
        <w:t xml:space="preserve"> par </w:t>
      </w:r>
      <w:r w:rsidR="00D20000">
        <w:rPr>
          <w:rFonts w:asciiTheme="minorHAnsi" w:hAnsiTheme="minorHAnsi" w:cstheme="minorBidi"/>
        </w:rPr>
        <w:t>Eléonore de la DREES</w:t>
      </w:r>
    </w:p>
    <w:p w14:paraId="2957C65D" w14:textId="77777777" w:rsidR="00481177" w:rsidRDefault="00481177" w:rsidP="002D59F1">
      <w:pPr>
        <w:jc w:val="both"/>
      </w:pPr>
    </w:p>
    <w:p w14:paraId="322F1A31" w14:textId="6ED981DC" w:rsidR="00EE1337" w:rsidRDefault="00EE1337" w:rsidP="002D59F1">
      <w:pPr>
        <w:jc w:val="both"/>
      </w:pPr>
      <w:r>
        <w:t>Ont été présentés :</w:t>
      </w:r>
    </w:p>
    <w:p w14:paraId="25F5E135" w14:textId="70CD9793" w:rsidR="00D20000" w:rsidRDefault="0048004E" w:rsidP="00D20000">
      <w:pPr>
        <w:pStyle w:val="Paragraphedeliste"/>
        <w:numPr>
          <w:ilvl w:val="0"/>
          <w:numId w:val="3"/>
        </w:numPr>
        <w:jc w:val="both"/>
      </w:pPr>
      <w:r>
        <w:t>é</w:t>
      </w:r>
      <w:r w:rsidR="00D20000">
        <w:t>volution des taux d’encadrement</w:t>
      </w:r>
      <w:r>
        <w:t>,</w:t>
      </w:r>
    </w:p>
    <w:p w14:paraId="1494B26A" w14:textId="1A3CD81E" w:rsidR="00D20000" w:rsidRDefault="0048004E" w:rsidP="00D20000">
      <w:pPr>
        <w:pStyle w:val="Paragraphedeliste"/>
        <w:numPr>
          <w:ilvl w:val="0"/>
          <w:numId w:val="3"/>
        </w:numPr>
        <w:jc w:val="both"/>
      </w:pPr>
      <w:r>
        <w:t>f</w:t>
      </w:r>
      <w:r w:rsidR="00D20000">
        <w:t>onctions exercées par le personnel</w:t>
      </w:r>
      <w:r>
        <w:t>,</w:t>
      </w:r>
    </w:p>
    <w:p w14:paraId="708980B9" w14:textId="14B24E22" w:rsidR="00D20000" w:rsidRDefault="0048004E" w:rsidP="00D20000">
      <w:pPr>
        <w:pStyle w:val="Paragraphedeliste"/>
        <w:numPr>
          <w:ilvl w:val="0"/>
          <w:numId w:val="3"/>
        </w:numPr>
        <w:jc w:val="both"/>
      </w:pPr>
      <w:r>
        <w:t>c</w:t>
      </w:r>
      <w:r w:rsidR="00D20000">
        <w:t>aractéristiques socio-démographiques</w:t>
      </w:r>
      <w:r>
        <w:t>,</w:t>
      </w:r>
    </w:p>
    <w:p w14:paraId="43B97ACF" w14:textId="6B7746AA" w:rsidR="00481177" w:rsidRDefault="0048004E" w:rsidP="00D20000">
      <w:pPr>
        <w:pStyle w:val="Paragraphedeliste"/>
        <w:numPr>
          <w:ilvl w:val="0"/>
          <w:numId w:val="3"/>
        </w:numPr>
        <w:jc w:val="both"/>
      </w:pPr>
      <w:r>
        <w:t>c</w:t>
      </w:r>
      <w:r w:rsidR="00481177">
        <w:t>onditions de travail et bénévolat</w:t>
      </w:r>
      <w:r>
        <w:t>.</w:t>
      </w:r>
    </w:p>
    <w:p w14:paraId="1B6C0284" w14:textId="77777777" w:rsidR="00EE1337" w:rsidRDefault="00EE1337" w:rsidP="002D59F1">
      <w:pPr>
        <w:jc w:val="both"/>
      </w:pPr>
    </w:p>
    <w:p w14:paraId="256807E2" w14:textId="77777777" w:rsidR="002F1566" w:rsidRDefault="002F1566" w:rsidP="002F1566">
      <w:pPr>
        <w:jc w:val="both"/>
      </w:pPr>
      <w:r>
        <w:t>Source : ES-DS 2020 - Personnel présent au 31/12/20. Élargissement du champ par rapport à l’enquête de 2018</w:t>
      </w:r>
    </w:p>
    <w:p w14:paraId="23033DB3" w14:textId="77777777" w:rsidR="002F1566" w:rsidRDefault="002F1566" w:rsidP="002F1566">
      <w:pPr>
        <w:jc w:val="both"/>
      </w:pPr>
      <w:r>
        <w:t>3 450 établissements – 41 000 personnes – 28 600 ETP – taux d’encadrement moyen est de 13% (13 emplois pour 100 places – 2/3 sont des femmes – 3 établissements sur 4 font appel à des bénévoles.</w:t>
      </w:r>
    </w:p>
    <w:p w14:paraId="4087DE03" w14:textId="77777777" w:rsidR="002F1566" w:rsidRDefault="002F1566" w:rsidP="002D59F1">
      <w:pPr>
        <w:jc w:val="both"/>
      </w:pPr>
    </w:p>
    <w:p w14:paraId="644D82F8" w14:textId="506E9FAB" w:rsidR="00EE1337" w:rsidRDefault="00EE1337" w:rsidP="00BA5EDE">
      <w:pPr>
        <w:jc w:val="both"/>
      </w:pPr>
      <w:r>
        <w:t xml:space="preserve">Lien vers </w:t>
      </w:r>
      <w:r w:rsidR="00384963">
        <w:t>l</w:t>
      </w:r>
      <w:r>
        <w:t xml:space="preserve">’enquête : </w:t>
      </w:r>
      <w:r w:rsidR="00E133D3">
        <w:t xml:space="preserve">en cours </w:t>
      </w:r>
    </w:p>
    <w:p w14:paraId="508BBB6F" w14:textId="77777777" w:rsidR="00EE1337" w:rsidRDefault="00EE1337" w:rsidP="002D59F1">
      <w:pPr>
        <w:jc w:val="both"/>
      </w:pPr>
    </w:p>
    <w:p w14:paraId="519C0423" w14:textId="77777777" w:rsidR="004547B3" w:rsidRPr="00344028" w:rsidRDefault="004547B3" w:rsidP="002D59F1">
      <w:pPr>
        <w:jc w:val="both"/>
        <w:rPr>
          <w:b/>
          <w:sz w:val="24"/>
          <w:szCs w:val="24"/>
        </w:rPr>
      </w:pPr>
      <w:r w:rsidRPr="00344028">
        <w:rPr>
          <w:b/>
          <w:sz w:val="24"/>
          <w:szCs w:val="24"/>
        </w:rPr>
        <w:t>Discussion</w:t>
      </w:r>
    </w:p>
    <w:p w14:paraId="0F0068B4" w14:textId="77777777" w:rsidR="0081608E" w:rsidRDefault="0081608E" w:rsidP="002D59F1">
      <w:pPr>
        <w:jc w:val="both"/>
      </w:pPr>
    </w:p>
    <w:p w14:paraId="34DAB3C8" w14:textId="53A14AC5" w:rsidR="00096EB9" w:rsidRDefault="00096EB9" w:rsidP="00096EB9">
      <w:pPr>
        <w:jc w:val="both"/>
      </w:pPr>
      <w:r w:rsidRPr="00096EB9">
        <w:rPr>
          <w:i/>
          <w:iCs/>
        </w:rPr>
        <w:t>Disponibilités de données régionales</w:t>
      </w:r>
      <w:r>
        <w:t xml:space="preserve"> : les données ne sont pas disponibles sur </w:t>
      </w:r>
      <w:proofErr w:type="spellStart"/>
      <w:r>
        <w:t>Datadrees</w:t>
      </w:r>
      <w:proofErr w:type="spellEnd"/>
      <w:r>
        <w:t xml:space="preserve"> mais la DREES propose de diffuser les </w:t>
      </w:r>
      <w:r>
        <w:t xml:space="preserve">codes </w:t>
      </w:r>
      <w:r>
        <w:t xml:space="preserve">sur STAR (accessible aux DREETS et SESE) </w:t>
      </w:r>
      <w:r>
        <w:t>pour que chaque région puisse faire ses propres analyses</w:t>
      </w:r>
    </w:p>
    <w:p w14:paraId="58756646" w14:textId="77777777" w:rsidR="00096EB9" w:rsidRDefault="00096EB9" w:rsidP="00096EB9">
      <w:pPr>
        <w:jc w:val="both"/>
      </w:pPr>
    </w:p>
    <w:p w14:paraId="36CBE55C" w14:textId="6B65AE5C" w:rsidR="00096EB9" w:rsidRDefault="00096EB9" w:rsidP="00096EB9">
      <w:pPr>
        <w:jc w:val="both"/>
      </w:pPr>
      <w:r w:rsidRPr="00096EB9">
        <w:rPr>
          <w:i/>
          <w:iCs/>
        </w:rPr>
        <w:t>Données salariales</w:t>
      </w:r>
      <w:r>
        <w:t> : il n’y a pas de données sur les salaires du personnel dans l’enquête ES-DS.</w:t>
      </w:r>
    </w:p>
    <w:p w14:paraId="20D3F366" w14:textId="331165DF" w:rsidR="00096EB9" w:rsidRDefault="00096EB9" w:rsidP="00096EB9">
      <w:pPr>
        <w:jc w:val="both"/>
      </w:pPr>
      <w:r>
        <w:t>Des données sont disponibles sur les s</w:t>
      </w:r>
      <w:r>
        <w:t>alaire</w:t>
      </w:r>
      <w:r>
        <w:t>s</w:t>
      </w:r>
      <w:r>
        <w:t xml:space="preserve"> des professions sociales - </w:t>
      </w:r>
      <w:hyperlink r:id="rId7" w:history="1">
        <w:r w:rsidRPr="0079051B">
          <w:rPr>
            <w:rStyle w:val="Lienhypertexte"/>
          </w:rPr>
          <w:t>Données sur les salaires de l’ensemble des professionnels du social, par profession, au niveau régional et au niveau national — DATA.DREES</w:t>
        </w:r>
      </w:hyperlink>
    </w:p>
    <w:p w14:paraId="7DD13552" w14:textId="77777777" w:rsidR="00096EB9" w:rsidRDefault="00096EB9" w:rsidP="00096EB9">
      <w:pPr>
        <w:jc w:val="both"/>
      </w:pPr>
      <w:r>
        <w:t xml:space="preserve">Ainsi que sur les éducatrices spécialisées : </w:t>
      </w:r>
      <w:hyperlink r:id="rId8" w:history="1">
        <w:r w:rsidRPr="0079051B">
          <w:rPr>
            <w:rStyle w:val="Lienhypertexte"/>
          </w:rPr>
          <w:t>Éducatrices spécialisées : un revenu salarial annuel moyen de 20 560 euros en 2021 | Direction de la recherche, des études, de l'évaluation et des statistiques</w:t>
        </w:r>
      </w:hyperlink>
    </w:p>
    <w:p w14:paraId="76CD1D7F" w14:textId="18DF486A" w:rsidR="00096EB9" w:rsidRDefault="00096EB9" w:rsidP="002D59F1">
      <w:pPr>
        <w:jc w:val="both"/>
      </w:pPr>
      <w:r>
        <w:t xml:space="preserve">Il devrait aussi y avoir des données dans l’enquête sur les coûts conduite par la </w:t>
      </w:r>
      <w:proofErr w:type="spellStart"/>
      <w:r>
        <w:t>Dihal</w:t>
      </w:r>
      <w:proofErr w:type="spellEnd"/>
      <w:r>
        <w:t>.</w:t>
      </w:r>
    </w:p>
    <w:p w14:paraId="217EDE33" w14:textId="77777777" w:rsidR="00096EB9" w:rsidRDefault="00096EB9" w:rsidP="002D59F1">
      <w:pPr>
        <w:jc w:val="both"/>
      </w:pPr>
    </w:p>
    <w:p w14:paraId="47E12955" w14:textId="144FCCB0" w:rsidR="0079051B" w:rsidRDefault="00096EB9" w:rsidP="002D59F1">
      <w:pPr>
        <w:jc w:val="both"/>
      </w:pPr>
      <w:r w:rsidRPr="00096EB9">
        <w:rPr>
          <w:i/>
          <w:iCs/>
        </w:rPr>
        <w:lastRenderedPageBreak/>
        <w:t>Spécificité des résultats</w:t>
      </w:r>
      <w:r>
        <w:t> : le taux d’encadrement a diminué entre 2016 et 2020. On peut s’interroger sur la spécificité des données en période de Covid. Il n’y a pas eu d’autre enquête mais les résultats de l’enquête 2024 en cours permettront de confirmer ou non cette tendance.</w:t>
      </w:r>
    </w:p>
    <w:p w14:paraId="544FD398" w14:textId="77777777" w:rsidR="00096EB9" w:rsidRDefault="00096EB9" w:rsidP="002D59F1">
      <w:pPr>
        <w:jc w:val="both"/>
      </w:pPr>
    </w:p>
    <w:p w14:paraId="5114E534" w14:textId="3502624A" w:rsidR="00096EB9" w:rsidRDefault="00096EB9" w:rsidP="002D59F1">
      <w:pPr>
        <w:jc w:val="both"/>
      </w:pPr>
      <w:r w:rsidRPr="006047A5">
        <w:rPr>
          <w:i/>
          <w:iCs/>
        </w:rPr>
        <w:t>Normes d’encadrement</w:t>
      </w:r>
      <w:r>
        <w:t xml:space="preserve"> : les données de l’enquête ES-DS </w:t>
      </w:r>
      <w:r w:rsidR="006047A5">
        <w:t xml:space="preserve">permettent de définir </w:t>
      </w:r>
      <w:r w:rsidR="00DD5907">
        <w:t>d</w:t>
      </w:r>
      <w:r w:rsidR="006047A5">
        <w:t xml:space="preserve">es taux d’encadrement par dispositif. Actuellement il n’existe pas de </w:t>
      </w:r>
      <w:r w:rsidR="00AC265E">
        <w:t>normes officielles</w:t>
      </w:r>
      <w:r w:rsidR="006047A5">
        <w:t xml:space="preserve"> d’encadrement </w:t>
      </w:r>
      <w:r w:rsidR="00DD5907">
        <w:t xml:space="preserve">par dispositif </w:t>
      </w:r>
      <w:r w:rsidR="006047A5">
        <w:t xml:space="preserve">mais la </w:t>
      </w:r>
      <w:proofErr w:type="spellStart"/>
      <w:r w:rsidR="006047A5">
        <w:t>Dihal</w:t>
      </w:r>
      <w:proofErr w:type="spellEnd"/>
      <w:r w:rsidR="006047A5">
        <w:t xml:space="preserve"> y travaille.</w:t>
      </w:r>
    </w:p>
    <w:p w14:paraId="624F89C6" w14:textId="77777777" w:rsidR="00096EB9" w:rsidRDefault="00096EB9" w:rsidP="002D59F1">
      <w:pPr>
        <w:jc w:val="both"/>
      </w:pPr>
    </w:p>
    <w:p w14:paraId="6BE653DF" w14:textId="77777777" w:rsidR="0079051B" w:rsidRDefault="0079051B" w:rsidP="002D59F1">
      <w:pPr>
        <w:jc w:val="both"/>
      </w:pPr>
    </w:p>
    <w:p w14:paraId="0A3DE8D3" w14:textId="721643FD" w:rsidR="0079051B" w:rsidRPr="00B23AC5" w:rsidRDefault="0079051B" w:rsidP="002D59F1">
      <w:pPr>
        <w:jc w:val="both"/>
        <w:rPr>
          <w:b/>
          <w:caps/>
          <w:sz w:val="28"/>
          <w:szCs w:val="28"/>
          <w:u w:val="single"/>
        </w:rPr>
      </w:pPr>
      <w:r w:rsidRPr="00B23AC5">
        <w:rPr>
          <w:b/>
          <w:caps/>
          <w:sz w:val="28"/>
          <w:szCs w:val="28"/>
          <w:u w:val="single"/>
        </w:rPr>
        <w:t xml:space="preserve">parcours </w:t>
      </w:r>
      <w:r w:rsidR="00B23AC5" w:rsidRPr="00B23AC5">
        <w:rPr>
          <w:b/>
          <w:caps/>
          <w:sz w:val="28"/>
          <w:szCs w:val="28"/>
          <w:u w:val="single"/>
        </w:rPr>
        <w:t>et</w:t>
      </w:r>
      <w:r w:rsidR="002537E7">
        <w:rPr>
          <w:b/>
          <w:caps/>
          <w:sz w:val="28"/>
          <w:szCs w:val="28"/>
          <w:u w:val="single"/>
        </w:rPr>
        <w:t xml:space="preserve"> PROFILS</w:t>
      </w:r>
      <w:r w:rsidR="00B23AC5" w:rsidRPr="00B23AC5">
        <w:rPr>
          <w:b/>
          <w:caps/>
          <w:sz w:val="28"/>
          <w:szCs w:val="28"/>
          <w:u w:val="single"/>
        </w:rPr>
        <w:t xml:space="preserve"> </w:t>
      </w:r>
      <w:r w:rsidR="002537E7">
        <w:rPr>
          <w:b/>
          <w:caps/>
          <w:sz w:val="28"/>
          <w:szCs w:val="28"/>
          <w:u w:val="single"/>
        </w:rPr>
        <w:t>D</w:t>
      </w:r>
      <w:r w:rsidR="00B23AC5" w:rsidRPr="00B23AC5">
        <w:rPr>
          <w:b/>
          <w:caps/>
          <w:sz w:val="28"/>
          <w:szCs w:val="28"/>
          <w:u w:val="single"/>
        </w:rPr>
        <w:t xml:space="preserve">es personnes logées </w:t>
      </w:r>
      <w:r w:rsidR="002537E7">
        <w:rPr>
          <w:b/>
          <w:caps/>
          <w:sz w:val="28"/>
          <w:szCs w:val="28"/>
          <w:u w:val="single"/>
        </w:rPr>
        <w:t>en</w:t>
      </w:r>
      <w:r w:rsidR="00B23AC5" w:rsidRPr="00B23AC5">
        <w:rPr>
          <w:b/>
          <w:caps/>
          <w:sz w:val="28"/>
          <w:szCs w:val="28"/>
          <w:u w:val="single"/>
        </w:rPr>
        <w:t xml:space="preserve"> logement accompagné </w:t>
      </w:r>
    </w:p>
    <w:p w14:paraId="039B93C5" w14:textId="77777777" w:rsidR="00B23AC5" w:rsidRDefault="00B23AC5" w:rsidP="002D59F1">
      <w:pPr>
        <w:jc w:val="both"/>
      </w:pPr>
    </w:p>
    <w:p w14:paraId="040E7233" w14:textId="32AA64E7" w:rsidR="00B23AC5" w:rsidRDefault="00B23AC5" w:rsidP="002D59F1">
      <w:pPr>
        <w:jc w:val="both"/>
      </w:pPr>
      <w:r w:rsidRPr="00EE1337">
        <w:rPr>
          <w:b/>
          <w:bCs/>
        </w:rPr>
        <w:t>Présentation</w:t>
      </w:r>
      <w:r>
        <w:rPr>
          <w:rFonts w:asciiTheme="minorHAnsi" w:hAnsiTheme="minorHAnsi" w:cstheme="minorBidi"/>
        </w:rPr>
        <w:t xml:space="preserve"> par </w:t>
      </w:r>
      <w:r>
        <w:rPr>
          <w:rFonts w:asciiTheme="minorHAnsi" w:hAnsiTheme="minorHAnsi" w:cstheme="minorBidi"/>
        </w:rPr>
        <w:t>Antonin Ollivier et Patrick Bodet de l’UNAFO</w:t>
      </w:r>
    </w:p>
    <w:p w14:paraId="107B5F6E" w14:textId="77777777" w:rsidR="00DD5907" w:rsidRDefault="00DD5907" w:rsidP="002D59F1">
      <w:pPr>
        <w:jc w:val="both"/>
      </w:pPr>
    </w:p>
    <w:p w14:paraId="02C6E30F" w14:textId="5EA0E29A" w:rsidR="002D59F1" w:rsidRDefault="00B23AC5" w:rsidP="002D59F1">
      <w:pPr>
        <w:jc w:val="both"/>
      </w:pPr>
      <w:r>
        <w:t>Ont été présenté</w:t>
      </w:r>
      <w:r w:rsidR="001A1FFD">
        <w:t>s</w:t>
      </w:r>
      <w:r>
        <w:t> :</w:t>
      </w:r>
    </w:p>
    <w:p w14:paraId="7F12AF60" w14:textId="1DD5D238" w:rsidR="00B23AC5" w:rsidRDefault="00B23AC5" w:rsidP="00B23AC5">
      <w:pPr>
        <w:pStyle w:val="Paragraphedeliste"/>
        <w:numPr>
          <w:ilvl w:val="0"/>
          <w:numId w:val="3"/>
        </w:numPr>
        <w:jc w:val="both"/>
      </w:pPr>
      <w:r>
        <w:t>L’UNAFO</w:t>
      </w:r>
      <w:r w:rsidR="001A1FFD">
        <w:t xml:space="preserve"> et son activité</w:t>
      </w:r>
      <w:r>
        <w:t>,</w:t>
      </w:r>
    </w:p>
    <w:p w14:paraId="12E64F5F" w14:textId="7B8843B0" w:rsidR="00B23AC5" w:rsidRDefault="00DD5907" w:rsidP="00B23AC5">
      <w:pPr>
        <w:pStyle w:val="Paragraphedeliste"/>
        <w:numPr>
          <w:ilvl w:val="0"/>
          <w:numId w:val="3"/>
        </w:numPr>
        <w:jc w:val="both"/>
      </w:pPr>
      <w:r>
        <w:t>m</w:t>
      </w:r>
      <w:r w:rsidR="00B23AC5">
        <w:t>éthodologie de l’enquête</w:t>
      </w:r>
      <w:r w:rsidR="002537E7">
        <w:t>,</w:t>
      </w:r>
    </w:p>
    <w:p w14:paraId="073B9588" w14:textId="64B1F638" w:rsidR="002537E7" w:rsidRDefault="00DD5907" w:rsidP="006B414D">
      <w:pPr>
        <w:pStyle w:val="Paragraphedeliste"/>
        <w:numPr>
          <w:ilvl w:val="0"/>
          <w:numId w:val="3"/>
        </w:numPr>
        <w:jc w:val="both"/>
      </w:pPr>
      <w:r>
        <w:t>l</w:t>
      </w:r>
      <w:r w:rsidR="002537E7">
        <w:t xml:space="preserve">es profils des personnes logées, leur situation économique, leur situation d’habitat, </w:t>
      </w:r>
      <w:r w:rsidR="006B0A51">
        <w:t xml:space="preserve">l’évolution de la situation d’habitat, </w:t>
      </w:r>
    </w:p>
    <w:p w14:paraId="42362F56" w14:textId="1A11B24D" w:rsidR="006B0A51" w:rsidRDefault="00DD5907" w:rsidP="006B414D">
      <w:pPr>
        <w:pStyle w:val="Paragraphedeliste"/>
        <w:numPr>
          <w:ilvl w:val="0"/>
          <w:numId w:val="3"/>
        </w:numPr>
        <w:jc w:val="both"/>
      </w:pPr>
      <w:r>
        <w:t>c</w:t>
      </w:r>
      <w:r w:rsidR="006B0A51">
        <w:t>omment améliorer la qualité des indicateurs,</w:t>
      </w:r>
    </w:p>
    <w:p w14:paraId="20E75877" w14:textId="66ACE5E1" w:rsidR="006B0A51" w:rsidRDefault="00DD5907" w:rsidP="006B414D">
      <w:pPr>
        <w:pStyle w:val="Paragraphedeliste"/>
        <w:numPr>
          <w:ilvl w:val="0"/>
          <w:numId w:val="3"/>
        </w:numPr>
        <w:jc w:val="both"/>
      </w:pPr>
      <w:r>
        <w:t>q</w:t>
      </w:r>
      <w:r w:rsidR="006B0A51">
        <w:t>uels nouveaux axes à donner en 2025.</w:t>
      </w:r>
    </w:p>
    <w:p w14:paraId="22221102" w14:textId="77777777" w:rsidR="00B23AC5" w:rsidRDefault="00B23AC5" w:rsidP="002D59F1">
      <w:pPr>
        <w:jc w:val="both"/>
      </w:pPr>
    </w:p>
    <w:p w14:paraId="4613C18F" w14:textId="77777777" w:rsidR="002F1566" w:rsidRDefault="002F1566" w:rsidP="002F1566">
      <w:pPr>
        <w:jc w:val="both"/>
      </w:pPr>
      <w:proofErr w:type="spellStart"/>
      <w:r>
        <w:t>Unafo</w:t>
      </w:r>
      <w:proofErr w:type="spellEnd"/>
      <w:r>
        <w:t xml:space="preserve"> / Union professionnelle du logement accompagné - 194 adhérents – 1 850 résidences – 155 000 logements</w:t>
      </w:r>
    </w:p>
    <w:p w14:paraId="7EF56024" w14:textId="77777777" w:rsidR="002F1566" w:rsidRDefault="002F1566" w:rsidP="002F1566">
      <w:pPr>
        <w:jc w:val="both"/>
      </w:pPr>
      <w:r>
        <w:t>Enquête annuelle sur le flux de personnes entrées et sorties en 2024 - 80% du parc, soit environ 130 000 logements</w:t>
      </w:r>
    </w:p>
    <w:p w14:paraId="3B5E14C0" w14:textId="77777777" w:rsidR="002F1566" w:rsidRDefault="002F1566" w:rsidP="002D59F1">
      <w:pPr>
        <w:jc w:val="both"/>
      </w:pPr>
    </w:p>
    <w:p w14:paraId="158D0D59" w14:textId="77777777" w:rsidR="002F1566" w:rsidRDefault="002F1566" w:rsidP="002F1566">
      <w:pPr>
        <w:jc w:val="both"/>
      </w:pPr>
      <w:r>
        <w:t xml:space="preserve">Lien vers l’enquête : </w:t>
      </w:r>
      <w:hyperlink r:id="rId9" w:anchor=":~:text=Nos%20chiffres%20cl%C3%A9s%20%3A&amp;text=A%20l'%C3%A9chelle%20de%20l,de%20565%20%E2%82%AC%20par%20mois." w:history="1">
        <w:r w:rsidRPr="00B23AC5">
          <w:rPr>
            <w:rStyle w:val="Lienhypertexte"/>
          </w:rPr>
          <w:t xml:space="preserve">Enquête </w:t>
        </w:r>
        <w:proofErr w:type="spellStart"/>
        <w:r w:rsidRPr="00B23AC5">
          <w:rPr>
            <w:rStyle w:val="Lienhypertexte"/>
          </w:rPr>
          <w:t>Unafo</w:t>
        </w:r>
        <w:proofErr w:type="spellEnd"/>
        <w:r w:rsidRPr="00B23AC5">
          <w:rPr>
            <w:rStyle w:val="Lienhypertexte"/>
          </w:rPr>
          <w:t xml:space="preserve"> : Profils et parcours des personnes logées - </w:t>
        </w:r>
        <w:proofErr w:type="spellStart"/>
        <w:r w:rsidRPr="00B23AC5">
          <w:rPr>
            <w:rStyle w:val="Lienhypertexte"/>
          </w:rPr>
          <w:t>Unafo</w:t>
        </w:r>
        <w:proofErr w:type="spellEnd"/>
      </w:hyperlink>
      <w:r>
        <w:t xml:space="preserve"> – chiffres de 2024 diffusés à l’automne 2024</w:t>
      </w:r>
    </w:p>
    <w:p w14:paraId="09C8DBE6" w14:textId="77777777" w:rsidR="002F1566" w:rsidRDefault="002F1566" w:rsidP="002D59F1">
      <w:pPr>
        <w:jc w:val="both"/>
      </w:pPr>
    </w:p>
    <w:p w14:paraId="06BEA0BF" w14:textId="05ACAC9A" w:rsidR="009921F5" w:rsidRPr="009921F5" w:rsidRDefault="009921F5" w:rsidP="002D59F1">
      <w:pPr>
        <w:jc w:val="both"/>
        <w:rPr>
          <w:b/>
          <w:sz w:val="24"/>
          <w:szCs w:val="24"/>
        </w:rPr>
      </w:pPr>
      <w:r w:rsidRPr="009921F5">
        <w:rPr>
          <w:b/>
          <w:sz w:val="24"/>
          <w:szCs w:val="24"/>
        </w:rPr>
        <w:t>Discussion</w:t>
      </w:r>
    </w:p>
    <w:p w14:paraId="4838B070" w14:textId="77777777" w:rsidR="00D65FC0" w:rsidRDefault="00D65FC0" w:rsidP="002D59F1">
      <w:pPr>
        <w:jc w:val="both"/>
      </w:pPr>
    </w:p>
    <w:p w14:paraId="0B21333E" w14:textId="49900671" w:rsidR="00FC0AA4" w:rsidRDefault="00A129F0" w:rsidP="002D59F1">
      <w:pPr>
        <w:jc w:val="both"/>
      </w:pPr>
      <w:r w:rsidRPr="00A129F0">
        <w:rPr>
          <w:i/>
          <w:iCs/>
        </w:rPr>
        <w:t xml:space="preserve">Organisation pour les personnes lors des </w:t>
      </w:r>
      <w:r w:rsidRPr="00A129F0">
        <w:rPr>
          <w:i/>
          <w:iCs/>
        </w:rPr>
        <w:t>transformations des dispositifs</w:t>
      </w:r>
      <w:r>
        <w:t xml:space="preserve"> : plusieurs établissements doivent encore faire l’objet de transformation. </w:t>
      </w:r>
      <w:r w:rsidR="00FC0AA4">
        <w:t>Les derniers sites à transformer sont les plus complexes : en Ile-de-</w:t>
      </w:r>
      <w:r w:rsidR="00FC0AA4">
        <w:t>France et</w:t>
      </w:r>
      <w:r w:rsidR="00FC0AA4">
        <w:t xml:space="preserve"> des sites avec de grosses capacités. L’objectif est </w:t>
      </w:r>
      <w:r w:rsidR="00FC0AA4">
        <w:t xml:space="preserve">toujours </w:t>
      </w:r>
      <w:r w:rsidR="00FC0AA4">
        <w:t>de préserver les droits des personnes à être logées</w:t>
      </w:r>
      <w:r w:rsidR="00FC0AA4">
        <w:t>.</w:t>
      </w:r>
    </w:p>
    <w:p w14:paraId="2D2CFA65" w14:textId="2D009A03" w:rsidR="00A129F0" w:rsidRDefault="00A129F0" w:rsidP="002D59F1">
      <w:pPr>
        <w:jc w:val="both"/>
      </w:pPr>
      <w:r>
        <w:t xml:space="preserve">Lors des transformations, l’organisation est variable : soit à tiroir, c’est-à-dire en maintenant les personnes dans le dispositif, soit en ayant recours </w:t>
      </w:r>
      <w:r w:rsidR="00FC0AA4">
        <w:t xml:space="preserve">temporairement </w:t>
      </w:r>
      <w:r w:rsidR="00FC0AA4">
        <w:t>à</w:t>
      </w:r>
      <w:r w:rsidR="00FC0AA4">
        <w:t xml:space="preserve"> des sites de desserrement</w:t>
      </w:r>
      <w:r w:rsidR="00FC0AA4">
        <w:t>.</w:t>
      </w:r>
    </w:p>
    <w:p w14:paraId="5529588F" w14:textId="77777777" w:rsidR="00FC0AA4" w:rsidRDefault="00FC0AA4" w:rsidP="002D59F1">
      <w:pPr>
        <w:jc w:val="both"/>
      </w:pPr>
    </w:p>
    <w:p w14:paraId="73FF1A4C" w14:textId="7933E85D" w:rsidR="00FC0AA4" w:rsidRDefault="00FC0AA4" w:rsidP="002D59F1">
      <w:pPr>
        <w:jc w:val="both"/>
      </w:pPr>
      <w:r w:rsidRPr="00FC0AA4">
        <w:rPr>
          <w:i/>
          <w:iCs/>
        </w:rPr>
        <w:t>Autres données sur le logement accompagné</w:t>
      </w:r>
      <w:r>
        <w:t> :</w:t>
      </w:r>
    </w:p>
    <w:p w14:paraId="06930144" w14:textId="7A928E99" w:rsidR="00FC0AA4" w:rsidRDefault="00FC0AA4" w:rsidP="002D59F1">
      <w:pPr>
        <w:jc w:val="both"/>
      </w:pPr>
      <w:r>
        <w:t>L</w:t>
      </w:r>
      <w:r>
        <w:t xml:space="preserve">’enquête </w:t>
      </w:r>
      <w:r>
        <w:t xml:space="preserve">de la DREES </w:t>
      </w:r>
      <w:r>
        <w:t xml:space="preserve">sur le logement adapté </w:t>
      </w:r>
      <w:r>
        <w:t xml:space="preserve">à partir des données d’ES-DS de 2020 </w:t>
      </w:r>
      <w:r>
        <w:t>est en cours de relecture</w:t>
      </w:r>
    </w:p>
    <w:p w14:paraId="0E098591" w14:textId="48360F8C" w:rsidR="00FC0AA4" w:rsidRDefault="00FC0AA4" w:rsidP="00FC0AA4">
      <w:pPr>
        <w:jc w:val="both"/>
      </w:pPr>
      <w:r w:rsidRPr="001A1FFD">
        <w:t>Les profils et les trajectoires des résidents des structures de logement adapté</w:t>
      </w:r>
      <w:r>
        <w:t xml:space="preserve"> – DRIHL - </w:t>
      </w:r>
      <w:hyperlink r:id="rId10" w:history="1">
        <w:r w:rsidRPr="001A1FFD">
          <w:rPr>
            <w:rStyle w:val="Lienhypertexte"/>
          </w:rPr>
          <w:t xml:space="preserve">Les profils et les trajectoires des résidents des structures de logement adapté | </w:t>
        </w:r>
        <w:proofErr w:type="spellStart"/>
        <w:r w:rsidRPr="001A1FFD">
          <w:rPr>
            <w:rStyle w:val="Lienhypertexte"/>
          </w:rPr>
          <w:t>Drihl</w:t>
        </w:r>
        <w:proofErr w:type="spellEnd"/>
        <w:r w:rsidRPr="001A1FFD">
          <w:rPr>
            <w:rStyle w:val="Lienhypertexte"/>
          </w:rPr>
          <w:t xml:space="preserve"> Île-de-France</w:t>
        </w:r>
      </w:hyperlink>
    </w:p>
    <w:p w14:paraId="2B53579F" w14:textId="1EBF494B" w:rsidR="00FC0AA4" w:rsidRDefault="00FC0AA4" w:rsidP="00FC0AA4">
      <w:pPr>
        <w:jc w:val="both"/>
      </w:pPr>
      <w:r w:rsidRPr="00824096">
        <w:t>L</w:t>
      </w:r>
      <w:r>
        <w:t xml:space="preserve">e logement adapté en Auvergne-Rhône-Alpes : </w:t>
      </w:r>
      <w:hyperlink r:id="rId11" w:history="1">
        <w:r w:rsidRPr="00824096">
          <w:rPr>
            <w:rStyle w:val="Lienhypertexte"/>
          </w:rPr>
          <w:t>Le logement adapté en Auvergne-Rhône-Alpes - Direction régionale de l'économie, de l'emploi, du travail et des solidarités (DREETS)</w:t>
        </w:r>
      </w:hyperlink>
      <w:r w:rsidRPr="00FC0AA4">
        <w:t xml:space="preserve"> </w:t>
      </w:r>
      <w:r>
        <w:t xml:space="preserve">. Les résultats sont similaires à ceux de l’enquête de l’UNAFO </w:t>
      </w:r>
      <w:r>
        <w:t>même si le champ est différent</w:t>
      </w:r>
      <w:r w:rsidR="00D95EC9">
        <w:t>.</w:t>
      </w:r>
    </w:p>
    <w:p w14:paraId="2EEE8087" w14:textId="77777777" w:rsidR="00FC0AA4" w:rsidRDefault="00FC0AA4" w:rsidP="002D59F1">
      <w:pPr>
        <w:jc w:val="both"/>
      </w:pPr>
    </w:p>
    <w:p w14:paraId="4810CBC5" w14:textId="5454748F" w:rsidR="00FC0AA4" w:rsidRDefault="000266A4" w:rsidP="002D59F1">
      <w:pPr>
        <w:jc w:val="both"/>
      </w:pPr>
      <w:r w:rsidRPr="000266A4">
        <w:rPr>
          <w:i/>
          <w:iCs/>
        </w:rPr>
        <w:t>Données par dispositif</w:t>
      </w:r>
      <w:r>
        <w:t> : celles-ci seront disponibles dans la communication de l’enquête</w:t>
      </w:r>
    </w:p>
    <w:p w14:paraId="29E52D01" w14:textId="77777777" w:rsidR="000266A4" w:rsidRDefault="000266A4" w:rsidP="002D59F1">
      <w:pPr>
        <w:jc w:val="both"/>
      </w:pPr>
    </w:p>
    <w:p w14:paraId="65F0D149" w14:textId="4855A7AE" w:rsidR="002D4DE9" w:rsidRDefault="00824096" w:rsidP="002D59F1">
      <w:pPr>
        <w:jc w:val="both"/>
      </w:pPr>
      <w:r w:rsidRPr="002D4DE9">
        <w:rPr>
          <w:i/>
          <w:iCs/>
        </w:rPr>
        <w:t>Ressources</w:t>
      </w:r>
      <w:r w:rsidR="005E51C9">
        <w:t xml:space="preserve"> : l’avis d’imposition </w:t>
      </w:r>
      <w:r w:rsidR="002D4DE9">
        <w:t xml:space="preserve">est demandé aux résidents avant d’accéder au logement mais c’est une </w:t>
      </w:r>
      <w:r w:rsidR="005E51C9">
        <w:t>donnée fragile</w:t>
      </w:r>
      <w:r w:rsidR="002D4DE9">
        <w:t xml:space="preserve"> car elle est facultative. Sont demandés aussi les </w:t>
      </w:r>
      <w:r w:rsidR="005E51C9">
        <w:t>revenus actualisés au moment de l’entrée dans le dispositif mais le détail</w:t>
      </w:r>
      <w:r w:rsidR="002D4DE9">
        <w:t xml:space="preserve"> n’est pas toujours disponible. De plus 33% </w:t>
      </w:r>
      <w:r w:rsidR="00E74EA7">
        <w:t>des personnes ont moins de 25 ans</w:t>
      </w:r>
      <w:r w:rsidR="000F514F">
        <w:t xml:space="preserve"> </w:t>
      </w:r>
      <w:r w:rsidR="002D4DE9">
        <w:t xml:space="preserve">donc elles n’ont pas toujours des ressources. Elles bénéficient d’un </w:t>
      </w:r>
      <w:r w:rsidR="002D4DE9">
        <w:t>accompagnement</w:t>
      </w:r>
      <w:r w:rsidR="002D4DE9">
        <w:t xml:space="preserve"> au cours de leur séjour </w:t>
      </w:r>
      <w:r w:rsidR="002D4DE9">
        <w:t>pour acc</w:t>
      </w:r>
      <w:r w:rsidR="002D4DE9">
        <w:t>éder</w:t>
      </w:r>
      <w:r w:rsidR="002D4DE9">
        <w:t xml:space="preserve"> aux droits</w:t>
      </w:r>
    </w:p>
    <w:p w14:paraId="52FA1C96" w14:textId="1AEA52E2" w:rsidR="002D4DE9" w:rsidRDefault="002D4DE9" w:rsidP="002D59F1">
      <w:pPr>
        <w:jc w:val="both"/>
      </w:pPr>
      <w:r>
        <w:t xml:space="preserve">Par ailleurs </w:t>
      </w:r>
      <w:r>
        <w:t>1/4 des personnes touchent l’APL</w:t>
      </w:r>
      <w:r>
        <w:t xml:space="preserve"> et </w:t>
      </w:r>
      <w:r w:rsidR="00B655E0">
        <w:t>les logements sont conventionnés en PLAI (</w:t>
      </w:r>
      <w:r w:rsidR="00B655E0" w:rsidRPr="00B655E0">
        <w:t>Prêt Locatif Aidé d'Intégration</w:t>
      </w:r>
      <w:r w:rsidR="00B655E0">
        <w:t>).</w:t>
      </w:r>
    </w:p>
    <w:p w14:paraId="62BC0BF6" w14:textId="77777777" w:rsidR="002D4DE9" w:rsidRDefault="002D4DE9" w:rsidP="002D59F1">
      <w:pPr>
        <w:jc w:val="both"/>
      </w:pPr>
    </w:p>
    <w:p w14:paraId="70914C46" w14:textId="0A0539EF" w:rsidR="001A1FFD" w:rsidRDefault="00B655E0" w:rsidP="002D59F1">
      <w:pPr>
        <w:jc w:val="both"/>
      </w:pPr>
      <w:r w:rsidRPr="00B655E0">
        <w:rPr>
          <w:i/>
          <w:iCs/>
        </w:rPr>
        <w:t>Interfaçage</w:t>
      </w:r>
      <w:r w:rsidR="001A1FFD" w:rsidRPr="00B655E0">
        <w:rPr>
          <w:i/>
          <w:iCs/>
        </w:rPr>
        <w:t xml:space="preserve"> entre le SI SIAO et les dispositifs du logement adapté</w:t>
      </w:r>
      <w:r w:rsidR="001A1FFD">
        <w:t xml:space="preserve"> : </w:t>
      </w:r>
      <w:r>
        <w:t xml:space="preserve">l’UNAFO a </w:t>
      </w:r>
      <w:r w:rsidR="001A1FFD">
        <w:t>sign</w:t>
      </w:r>
      <w:r>
        <w:t xml:space="preserve">é </w:t>
      </w:r>
      <w:r w:rsidR="001A1FFD">
        <w:t>une convention</w:t>
      </w:r>
      <w:r>
        <w:t xml:space="preserve"> avec la </w:t>
      </w:r>
      <w:proofErr w:type="spellStart"/>
      <w:r>
        <w:t>Dihal</w:t>
      </w:r>
      <w:proofErr w:type="spellEnd"/>
      <w:r>
        <w:t xml:space="preserve"> mais l’interfaçage est complexe car chaque dispositif dispose de son propre outil informatique.</w:t>
      </w:r>
    </w:p>
    <w:p w14:paraId="43FB963B" w14:textId="77777777" w:rsidR="001A1FFD" w:rsidRDefault="001A1FFD" w:rsidP="002D59F1">
      <w:pPr>
        <w:jc w:val="both"/>
      </w:pPr>
    </w:p>
    <w:p w14:paraId="3475CE5C" w14:textId="77777777" w:rsidR="00824096" w:rsidRDefault="00824096" w:rsidP="002D59F1">
      <w:pPr>
        <w:jc w:val="both"/>
      </w:pPr>
    </w:p>
    <w:p w14:paraId="04C4759E" w14:textId="77777777" w:rsidR="00B23AC5" w:rsidRDefault="00B23AC5" w:rsidP="002D59F1">
      <w:pPr>
        <w:jc w:val="both"/>
      </w:pPr>
    </w:p>
    <w:p w14:paraId="0E4FE10C" w14:textId="0E1BFF95" w:rsidR="001A1FFD" w:rsidRPr="00B0752D" w:rsidRDefault="00D25F00" w:rsidP="002D59F1">
      <w:pPr>
        <w:jc w:val="both"/>
        <w:rPr>
          <w:b/>
          <w:caps/>
          <w:sz w:val="28"/>
          <w:szCs w:val="28"/>
          <w:u w:val="single"/>
        </w:rPr>
      </w:pPr>
      <w:r w:rsidRPr="00B0752D">
        <w:rPr>
          <w:b/>
          <w:caps/>
          <w:sz w:val="28"/>
          <w:szCs w:val="28"/>
          <w:u w:val="single"/>
        </w:rPr>
        <w:lastRenderedPageBreak/>
        <w:t>EXERCICE DE MESURE DE LA SATURATION DE L’HEBERGEMENT D’URGENCE EN BOURGOGNE-FRANCHE-COMTE A PARTIR DES DONNEES DU SI-SIAO</w:t>
      </w:r>
    </w:p>
    <w:p w14:paraId="682E50C2" w14:textId="77777777" w:rsidR="001A1FFD" w:rsidRDefault="001A1FFD" w:rsidP="002D59F1">
      <w:pPr>
        <w:jc w:val="both"/>
      </w:pPr>
    </w:p>
    <w:p w14:paraId="2F0A3D97" w14:textId="5D49B571" w:rsidR="00B0752D" w:rsidRDefault="00B0752D" w:rsidP="002D59F1">
      <w:pPr>
        <w:jc w:val="both"/>
      </w:pPr>
      <w:r w:rsidRPr="00B0752D">
        <w:rPr>
          <w:b/>
          <w:bCs/>
        </w:rPr>
        <w:t>Présentation</w:t>
      </w:r>
      <w:r>
        <w:t xml:space="preserve"> par </w:t>
      </w:r>
      <w:r w:rsidRPr="00E70439">
        <w:rPr>
          <w:rFonts w:asciiTheme="minorHAnsi" w:hAnsiTheme="minorHAnsi" w:cstheme="minorBidi"/>
        </w:rPr>
        <w:t xml:space="preserve">Amandine </w:t>
      </w:r>
      <w:proofErr w:type="spellStart"/>
      <w:r w:rsidRPr="00E70439">
        <w:rPr>
          <w:rFonts w:asciiTheme="minorHAnsi" w:hAnsiTheme="minorHAnsi" w:cstheme="minorBidi"/>
        </w:rPr>
        <w:t>Liagre</w:t>
      </w:r>
      <w:proofErr w:type="spellEnd"/>
      <w:r>
        <w:rPr>
          <w:rFonts w:asciiTheme="minorHAnsi" w:hAnsiTheme="minorHAnsi" w:cstheme="minorBidi"/>
        </w:rPr>
        <w:t xml:space="preserve"> et Rina </w:t>
      </w:r>
      <w:proofErr w:type="spellStart"/>
      <w:r>
        <w:rPr>
          <w:rFonts w:asciiTheme="minorHAnsi" w:hAnsiTheme="minorHAnsi" w:cstheme="minorBidi"/>
        </w:rPr>
        <w:t>Petrequin</w:t>
      </w:r>
      <w:proofErr w:type="spellEnd"/>
    </w:p>
    <w:p w14:paraId="7ABEC49E" w14:textId="4A570257" w:rsidR="001A1FFD" w:rsidRDefault="001A1FFD" w:rsidP="002D59F1">
      <w:pPr>
        <w:jc w:val="both"/>
      </w:pPr>
    </w:p>
    <w:p w14:paraId="132F1469" w14:textId="77777777" w:rsidR="001A1FFD" w:rsidRDefault="001A1FFD" w:rsidP="001A1FFD">
      <w:pPr>
        <w:jc w:val="both"/>
      </w:pPr>
      <w:r>
        <w:t>Ont été présentés :</w:t>
      </w:r>
    </w:p>
    <w:p w14:paraId="067665D1" w14:textId="1F922C42" w:rsidR="001A1FFD" w:rsidRDefault="002F1566" w:rsidP="001A1FFD">
      <w:pPr>
        <w:pStyle w:val="Paragraphedeliste"/>
        <w:numPr>
          <w:ilvl w:val="0"/>
          <w:numId w:val="3"/>
        </w:numPr>
        <w:jc w:val="both"/>
      </w:pPr>
      <w:r>
        <w:t>l</w:t>
      </w:r>
      <w:r w:rsidR="001A1FFD">
        <w:t>e travail réalisé en amont pour l’harmonisation des données,</w:t>
      </w:r>
    </w:p>
    <w:p w14:paraId="22272907" w14:textId="39BDDEE6" w:rsidR="00110C93" w:rsidRDefault="002F1566" w:rsidP="001A1FFD">
      <w:pPr>
        <w:pStyle w:val="Paragraphedeliste"/>
        <w:numPr>
          <w:ilvl w:val="0"/>
          <w:numId w:val="3"/>
        </w:numPr>
        <w:jc w:val="both"/>
      </w:pPr>
      <w:r>
        <w:t>l</w:t>
      </w:r>
      <w:r w:rsidR="00110C93">
        <w:t xml:space="preserve">e parc </w:t>
      </w:r>
      <w:r>
        <w:t xml:space="preserve">d’hébergement en </w:t>
      </w:r>
      <w:r w:rsidR="00110C93">
        <w:t>BFC</w:t>
      </w:r>
    </w:p>
    <w:p w14:paraId="48A7290F" w14:textId="239CAE46" w:rsidR="001A1FFD" w:rsidRDefault="002F1566" w:rsidP="001A1FFD">
      <w:pPr>
        <w:pStyle w:val="Paragraphedeliste"/>
        <w:numPr>
          <w:ilvl w:val="0"/>
          <w:numId w:val="3"/>
        </w:numPr>
        <w:jc w:val="both"/>
      </w:pPr>
      <w:r>
        <w:t>d</w:t>
      </w:r>
      <w:r w:rsidR="00110C93">
        <w:t>éfinition du taux d’occupation</w:t>
      </w:r>
      <w:r w:rsidR="000C7005">
        <w:t> : les capacités (dénominateur), les personnes hébergées (numérateur)</w:t>
      </w:r>
      <w:r w:rsidR="006747A2">
        <w:t>, méthode de calcul,</w:t>
      </w:r>
    </w:p>
    <w:p w14:paraId="68D9372B" w14:textId="5C05181C" w:rsidR="006747A2" w:rsidRDefault="002F1566" w:rsidP="001A1FFD">
      <w:pPr>
        <w:pStyle w:val="Paragraphedeliste"/>
        <w:numPr>
          <w:ilvl w:val="0"/>
          <w:numId w:val="3"/>
        </w:numPr>
        <w:jc w:val="both"/>
      </w:pPr>
      <w:r>
        <w:t>s</w:t>
      </w:r>
      <w:r w:rsidR="006747A2">
        <w:t>aturation de l’occupation du parc</w:t>
      </w:r>
      <w:r w:rsidR="00851743">
        <w:t>,</w:t>
      </w:r>
    </w:p>
    <w:p w14:paraId="483FB6F9" w14:textId="6608B2DE" w:rsidR="00851743" w:rsidRDefault="002F1566" w:rsidP="001A1FFD">
      <w:pPr>
        <w:pStyle w:val="Paragraphedeliste"/>
        <w:numPr>
          <w:ilvl w:val="0"/>
          <w:numId w:val="3"/>
        </w:numPr>
        <w:jc w:val="both"/>
      </w:pPr>
      <w:r>
        <w:t>p</w:t>
      </w:r>
      <w:r w:rsidR="00851743">
        <w:t>roduction d’indicateurs supplémentaires</w:t>
      </w:r>
      <w:r w:rsidR="00834DFA">
        <w:t xml:space="preserve"> : </w:t>
      </w:r>
      <w:proofErr w:type="spellStart"/>
      <w:r w:rsidR="00834DFA">
        <w:t>sur-occupation</w:t>
      </w:r>
      <w:proofErr w:type="spellEnd"/>
      <w:r w:rsidR="00834DFA">
        <w:t xml:space="preserve"> et sous-occupation</w:t>
      </w:r>
      <w:r w:rsidR="00B62716">
        <w:t>,</w:t>
      </w:r>
    </w:p>
    <w:p w14:paraId="15E5A8A8" w14:textId="2C863312" w:rsidR="00834DFA" w:rsidRDefault="002F1566" w:rsidP="001A1FFD">
      <w:pPr>
        <w:pStyle w:val="Paragraphedeliste"/>
        <w:numPr>
          <w:ilvl w:val="0"/>
          <w:numId w:val="3"/>
        </w:numPr>
        <w:jc w:val="both"/>
      </w:pPr>
      <w:r>
        <w:t>c</w:t>
      </w:r>
      <w:r w:rsidR="00A122DF">
        <w:t>onclusion</w:t>
      </w:r>
      <w:r w:rsidR="00B62716">
        <w:t>,</w:t>
      </w:r>
    </w:p>
    <w:p w14:paraId="4C078699" w14:textId="530D133D" w:rsidR="00D25F00" w:rsidRDefault="002F1566" w:rsidP="001A1FFD">
      <w:pPr>
        <w:pStyle w:val="Paragraphedeliste"/>
        <w:numPr>
          <w:ilvl w:val="0"/>
          <w:numId w:val="3"/>
        </w:numPr>
        <w:jc w:val="both"/>
      </w:pPr>
      <w:r>
        <w:t>i</w:t>
      </w:r>
      <w:r w:rsidR="00D25F00">
        <w:t>mpact de la structure du parc sur le taux d’occupation</w:t>
      </w:r>
      <w:r w:rsidR="00B62716">
        <w:t>.</w:t>
      </w:r>
    </w:p>
    <w:p w14:paraId="05764F02" w14:textId="77777777" w:rsidR="00D25F00" w:rsidRDefault="00D25F00" w:rsidP="00D25F00">
      <w:pPr>
        <w:jc w:val="both"/>
      </w:pPr>
    </w:p>
    <w:p w14:paraId="2BB4D81F" w14:textId="7B982206" w:rsidR="00E3202E" w:rsidRDefault="00E3202E" w:rsidP="00E3202E">
      <w:pPr>
        <w:jc w:val="both"/>
      </w:pPr>
      <w:r>
        <w:t xml:space="preserve">Lien vers la présentation de l’enquête : </w:t>
      </w:r>
      <w:r>
        <w:t>pas de publication</w:t>
      </w:r>
      <w:r>
        <w:t xml:space="preserve"> </w:t>
      </w:r>
    </w:p>
    <w:p w14:paraId="72C53B47" w14:textId="77777777" w:rsidR="00E3202E" w:rsidRDefault="00E3202E" w:rsidP="00D25F00">
      <w:pPr>
        <w:jc w:val="both"/>
      </w:pPr>
    </w:p>
    <w:p w14:paraId="314A993A" w14:textId="77777777" w:rsidR="00C950AD" w:rsidRDefault="00C950AD" w:rsidP="00C950AD">
      <w:pPr>
        <w:jc w:val="both"/>
      </w:pPr>
      <w:r>
        <w:t>Interrogation autour de la production d’un indicateur sur le taux d’occupation : quel numérateur et quel dénominateur ? Quelle définition de la saturation ?</w:t>
      </w:r>
    </w:p>
    <w:p w14:paraId="31B945BB" w14:textId="77777777" w:rsidR="00E3202E" w:rsidRDefault="00E3202E" w:rsidP="00D25F00">
      <w:pPr>
        <w:jc w:val="both"/>
      </w:pPr>
    </w:p>
    <w:p w14:paraId="0C1816A7" w14:textId="77777777" w:rsidR="007E65B2" w:rsidRPr="009921F5" w:rsidRDefault="007E65B2" w:rsidP="007E65B2">
      <w:pPr>
        <w:jc w:val="both"/>
        <w:rPr>
          <w:b/>
          <w:sz w:val="24"/>
          <w:szCs w:val="24"/>
        </w:rPr>
      </w:pPr>
      <w:r w:rsidRPr="009921F5">
        <w:rPr>
          <w:b/>
          <w:sz w:val="24"/>
          <w:szCs w:val="24"/>
        </w:rPr>
        <w:t>Discussion</w:t>
      </w:r>
    </w:p>
    <w:p w14:paraId="6919555C" w14:textId="77777777" w:rsidR="007E65B2" w:rsidRDefault="007E65B2" w:rsidP="002D59F1">
      <w:pPr>
        <w:jc w:val="both"/>
      </w:pPr>
    </w:p>
    <w:p w14:paraId="43450CB5" w14:textId="1C841033" w:rsidR="007E65B2" w:rsidRDefault="002032FF" w:rsidP="002D59F1">
      <w:pPr>
        <w:jc w:val="both"/>
      </w:pPr>
      <w:r w:rsidRPr="00C950AD">
        <w:rPr>
          <w:i/>
          <w:iCs/>
        </w:rPr>
        <w:t>Temps nécessaire</w:t>
      </w:r>
      <w:r>
        <w:t xml:space="preserve"> : </w:t>
      </w:r>
      <w:r w:rsidR="00C950AD">
        <w:t xml:space="preserve">plusieurs analyses statistiques ont été réalisées pour tester la production d’un taux d’occupation ainsi que </w:t>
      </w:r>
      <w:r w:rsidR="00524719">
        <w:t>d’</w:t>
      </w:r>
      <w:r w:rsidR="00C950AD">
        <w:t xml:space="preserve">autres indicateurs. Compte-tenu des corrections des données, des échanges avec les SIAO, des analyses statistiques, c’est un travail chronophage qui a nécessité </w:t>
      </w:r>
      <w:r w:rsidR="007E65B2">
        <w:t xml:space="preserve">6 mois </w:t>
      </w:r>
      <w:r w:rsidR="00C950AD">
        <w:t xml:space="preserve">de travail </w:t>
      </w:r>
      <w:r w:rsidR="007E65B2">
        <w:t>pour 0,5 ETP</w:t>
      </w:r>
      <w:r w:rsidR="009C0CC3">
        <w:t>.</w:t>
      </w:r>
    </w:p>
    <w:p w14:paraId="10D26D28" w14:textId="77777777" w:rsidR="00C950AD" w:rsidRDefault="00C950AD" w:rsidP="002D59F1">
      <w:pPr>
        <w:jc w:val="both"/>
      </w:pPr>
    </w:p>
    <w:p w14:paraId="62D73C9E" w14:textId="5FF77F16" w:rsidR="00524719" w:rsidRDefault="00524719" w:rsidP="002D59F1">
      <w:pPr>
        <w:jc w:val="both"/>
      </w:pPr>
      <w:r w:rsidRPr="00524719">
        <w:rPr>
          <w:i/>
          <w:iCs/>
        </w:rPr>
        <w:t>Calcul du taux d’occupation</w:t>
      </w:r>
      <w:r>
        <w:t xml:space="preserve"> : </w:t>
      </w:r>
    </w:p>
    <w:p w14:paraId="28E2E1F3" w14:textId="75435607" w:rsidR="00524719" w:rsidRDefault="00524719" w:rsidP="002D59F1">
      <w:pPr>
        <w:jc w:val="both"/>
      </w:pPr>
      <w:r>
        <w:t xml:space="preserve">Ce calcul est complexe compte tenu des modalités d’enregistrement des données dans le SI SIAO. Un chantier sur l’offre d’hébergement piloté par la </w:t>
      </w:r>
      <w:proofErr w:type="spellStart"/>
      <w:r>
        <w:t>Dihal</w:t>
      </w:r>
      <w:proofErr w:type="spellEnd"/>
      <w:r>
        <w:t xml:space="preserve"> est en cours depuis plusieurs mois afin de fia</w:t>
      </w:r>
      <w:r w:rsidR="000B11B0">
        <w:t>bi</w:t>
      </w:r>
      <w:r>
        <w:t>liser l’enregistrement des groupes et des types de place.</w:t>
      </w:r>
    </w:p>
    <w:p w14:paraId="41EA94A0" w14:textId="59FD5168" w:rsidR="00524719" w:rsidRDefault="000B11B0" w:rsidP="002D59F1">
      <w:pPr>
        <w:jc w:val="both"/>
      </w:pPr>
      <w:r>
        <w:t xml:space="preserve">Il y a aussi des différences </w:t>
      </w:r>
      <w:r>
        <w:t>département</w:t>
      </w:r>
      <w:r>
        <w:t>ale</w:t>
      </w:r>
      <w:r>
        <w:t>s</w:t>
      </w:r>
      <w:r>
        <w:t xml:space="preserve"> de comptage au sein de la région </w:t>
      </w:r>
      <w:r>
        <w:t>entre les places financées et les places occupées.</w:t>
      </w:r>
    </w:p>
    <w:p w14:paraId="6000AA6A" w14:textId="4658BCCE" w:rsidR="000B11B0" w:rsidRDefault="000B11B0" w:rsidP="000B11B0">
      <w:pPr>
        <w:jc w:val="both"/>
      </w:pPr>
      <w:r>
        <w:t>Le calcul du taux d’occupation s’appuie sur un c</w:t>
      </w:r>
      <w:r>
        <w:t xml:space="preserve">alcul journalier </w:t>
      </w:r>
      <w:r>
        <w:t xml:space="preserve">qui </w:t>
      </w:r>
      <w:r>
        <w:t xml:space="preserve">renvoie </w:t>
      </w:r>
      <w:r>
        <w:t xml:space="preserve">de ce fait </w:t>
      </w:r>
      <w:r>
        <w:t>à des petites structures</w:t>
      </w:r>
      <w:r>
        <w:t>.</w:t>
      </w:r>
    </w:p>
    <w:p w14:paraId="1CBA5D75" w14:textId="41FBAE1D" w:rsidR="00C950AD" w:rsidRDefault="000B11B0" w:rsidP="002D59F1">
      <w:pPr>
        <w:jc w:val="both"/>
      </w:pPr>
      <w:r>
        <w:t xml:space="preserve">Il est proposé de </w:t>
      </w:r>
      <w:r w:rsidR="00524719" w:rsidRPr="00524719">
        <w:t xml:space="preserve">ne pas </w:t>
      </w:r>
      <w:r>
        <w:t>utiliser</w:t>
      </w:r>
      <w:r w:rsidR="00524719" w:rsidRPr="00524719">
        <w:t xml:space="preserve"> la moyenne des taux, mais plutôt le rapport du nombre moyen de nuits rapporté au nombre moyen de places</w:t>
      </w:r>
      <w:r>
        <w:t>.</w:t>
      </w:r>
    </w:p>
    <w:p w14:paraId="41F7F1FE" w14:textId="30C67C8E" w:rsidR="000B11B0" w:rsidRDefault="000B11B0" w:rsidP="002D59F1">
      <w:pPr>
        <w:jc w:val="both"/>
      </w:pPr>
      <w:r>
        <w:t xml:space="preserve">Pour la </w:t>
      </w:r>
      <w:proofErr w:type="spellStart"/>
      <w:r>
        <w:t>sur-occupation</w:t>
      </w:r>
      <w:proofErr w:type="spellEnd"/>
      <w:r>
        <w:t xml:space="preserve">, il n’y a </w:t>
      </w:r>
      <w:r>
        <w:t xml:space="preserve">pas toujours d’explication </w:t>
      </w:r>
      <w:r>
        <w:t xml:space="preserve">notamment </w:t>
      </w:r>
      <w:proofErr w:type="spellStart"/>
      <w:r>
        <w:t>du</w:t>
      </w:r>
      <w:proofErr w:type="spellEnd"/>
      <w:r>
        <w:t xml:space="preserve"> fait de </w:t>
      </w:r>
      <w:proofErr w:type="spellStart"/>
      <w:r>
        <w:t>la</w:t>
      </w:r>
      <w:proofErr w:type="spellEnd"/>
      <w:r>
        <w:t xml:space="preserve"> souplesse de gestion par les </w:t>
      </w:r>
      <w:r w:rsidR="00FB39EF">
        <w:t>SIAO</w:t>
      </w:r>
      <w:r>
        <w:t>.</w:t>
      </w:r>
    </w:p>
    <w:p w14:paraId="4B408E3F" w14:textId="6A15B00E" w:rsidR="00FB39EF" w:rsidRDefault="006166A5" w:rsidP="002D59F1">
      <w:pPr>
        <w:jc w:val="both"/>
      </w:pPr>
      <w:r>
        <w:t>Pour la</w:t>
      </w:r>
      <w:r w:rsidR="00FB39EF">
        <w:t xml:space="preserve"> </w:t>
      </w:r>
      <w:proofErr w:type="spellStart"/>
      <w:r>
        <w:t>sur-occupation</w:t>
      </w:r>
      <w:proofErr w:type="spellEnd"/>
      <w:r>
        <w:t>, un critère de sécurité a été défini. Une place est considéré</w:t>
      </w:r>
      <w:r w:rsidR="00DB2754">
        <w:t>e</w:t>
      </w:r>
      <w:r>
        <w:t xml:space="preserve"> en </w:t>
      </w:r>
      <w:proofErr w:type="spellStart"/>
      <w:r>
        <w:t>sur-occupation</w:t>
      </w:r>
      <w:proofErr w:type="spellEnd"/>
      <w:r>
        <w:t>, si elle a été sur-occupé</w:t>
      </w:r>
      <w:r w:rsidR="00DB2754">
        <w:t>e</w:t>
      </w:r>
      <w:r>
        <w:t xml:space="preserve"> au </w:t>
      </w:r>
      <w:r w:rsidR="00436F93">
        <w:t>moins 1 fois par mois</w:t>
      </w:r>
      <w:r>
        <w:t>.</w:t>
      </w:r>
    </w:p>
    <w:p w14:paraId="1C0EDCBA" w14:textId="77777777" w:rsidR="00DB2754" w:rsidRDefault="00DB2754" w:rsidP="002D59F1">
      <w:pPr>
        <w:jc w:val="both"/>
      </w:pPr>
    </w:p>
    <w:p w14:paraId="7B87EFC1" w14:textId="03F3C610" w:rsidR="00FF56BB" w:rsidRDefault="00DB2754" w:rsidP="002D59F1">
      <w:pPr>
        <w:jc w:val="both"/>
      </w:pPr>
      <w:r w:rsidRPr="00DB2754">
        <w:rPr>
          <w:i/>
          <w:iCs/>
        </w:rPr>
        <w:t xml:space="preserve">Importance de mesurer un taux </w:t>
      </w:r>
      <w:r w:rsidR="00FF56BB" w:rsidRPr="00DB2754">
        <w:rPr>
          <w:i/>
          <w:iCs/>
        </w:rPr>
        <w:t>d’occupation</w:t>
      </w:r>
      <w:r w:rsidR="00FF56BB">
        <w:t xml:space="preserve"> </w:t>
      </w:r>
      <w:r>
        <w:t xml:space="preserve">pour les dispositifs relevant de l’urgence (115) </w:t>
      </w:r>
      <w:r w:rsidR="00FF56BB">
        <w:t xml:space="preserve">s’explique </w:t>
      </w:r>
      <w:r>
        <w:t xml:space="preserve">par plusieurs facteurs : </w:t>
      </w:r>
      <w:r w:rsidR="00FF56BB">
        <w:t xml:space="preserve"> comptabilisation </w:t>
      </w:r>
      <w:r>
        <w:t>à la</w:t>
      </w:r>
      <w:r w:rsidR="00FF56BB">
        <w:t xml:space="preserve"> place v</w:t>
      </w:r>
      <w:r>
        <w:t>ersu</w:t>
      </w:r>
      <w:r w:rsidR="00FF56BB">
        <w:t>s en logement</w:t>
      </w:r>
      <w:r>
        <w:t>s</w:t>
      </w:r>
      <w:r w:rsidR="00FF56BB">
        <w:t xml:space="preserve"> </w:t>
      </w:r>
      <w:r>
        <w:t xml:space="preserve">pour les dispositifs relevant de l’insertion, importance des </w:t>
      </w:r>
      <w:r w:rsidR="00FF56BB">
        <w:t xml:space="preserve">demandes non pourvues </w:t>
      </w:r>
      <w:r>
        <w:t>faute de places disponibles ou compatibles avec la composition du ménage, volonté de réduction du</w:t>
      </w:r>
      <w:r w:rsidR="00FF56BB">
        <w:t xml:space="preserve"> coût à la place </w:t>
      </w:r>
      <w:r>
        <w:t>et processus de</w:t>
      </w:r>
      <w:r w:rsidR="00FF56BB">
        <w:t xml:space="preserve"> réduction des nuitées hôtelières</w:t>
      </w:r>
      <w:r>
        <w:t>.</w:t>
      </w:r>
    </w:p>
    <w:p w14:paraId="2EEB5396" w14:textId="77777777" w:rsidR="003C50E0" w:rsidRDefault="003C50E0" w:rsidP="002D59F1">
      <w:pPr>
        <w:jc w:val="both"/>
      </w:pPr>
    </w:p>
    <w:p w14:paraId="0D1EDE8E" w14:textId="77777777" w:rsidR="007E65B2" w:rsidRDefault="007E65B2" w:rsidP="002D59F1">
      <w:pPr>
        <w:jc w:val="both"/>
      </w:pPr>
    </w:p>
    <w:p w14:paraId="2A59B12B" w14:textId="3612BE5F" w:rsidR="004547B3" w:rsidRPr="00ED26D9" w:rsidRDefault="004547B3" w:rsidP="002D59F1">
      <w:pPr>
        <w:jc w:val="both"/>
        <w:rPr>
          <w:b/>
          <w:caps/>
          <w:sz w:val="28"/>
          <w:szCs w:val="28"/>
          <w:u w:val="single"/>
        </w:rPr>
      </w:pPr>
      <w:r w:rsidRPr="00ED26D9">
        <w:rPr>
          <w:b/>
          <w:caps/>
          <w:sz w:val="28"/>
          <w:szCs w:val="28"/>
          <w:u w:val="single"/>
        </w:rPr>
        <w:t>PROCHAINE REUNION</w:t>
      </w:r>
    </w:p>
    <w:p w14:paraId="4DEE8F8B" w14:textId="77777777" w:rsidR="004547B3" w:rsidRDefault="004547B3" w:rsidP="002D59F1">
      <w:pPr>
        <w:jc w:val="both"/>
      </w:pPr>
    </w:p>
    <w:p w14:paraId="5405A7EE" w14:textId="445D30C4" w:rsidR="004547B3" w:rsidRDefault="004547B3" w:rsidP="002D59F1">
      <w:pPr>
        <w:jc w:val="both"/>
      </w:pPr>
      <w:bookmarkStart w:id="1" w:name="_Hlk189824169"/>
      <w:r w:rsidRPr="00AF77B7">
        <w:t xml:space="preserve">La prochaine réunion est fixée au </w:t>
      </w:r>
      <w:r w:rsidR="003935F1" w:rsidRPr="00B23AC5">
        <w:rPr>
          <w:b/>
          <w:bCs/>
        </w:rPr>
        <w:t>2</w:t>
      </w:r>
      <w:r w:rsidR="00270187">
        <w:rPr>
          <w:b/>
          <w:bCs/>
        </w:rPr>
        <w:t>8</w:t>
      </w:r>
      <w:r w:rsidR="003935F1" w:rsidRPr="00B23AC5">
        <w:rPr>
          <w:b/>
          <w:bCs/>
        </w:rPr>
        <w:t xml:space="preserve"> </w:t>
      </w:r>
      <w:r w:rsidR="00270187">
        <w:rPr>
          <w:b/>
          <w:bCs/>
        </w:rPr>
        <w:t>nov</w:t>
      </w:r>
      <w:r w:rsidR="003935F1" w:rsidRPr="00B23AC5">
        <w:rPr>
          <w:b/>
          <w:bCs/>
        </w:rPr>
        <w:t>embre</w:t>
      </w:r>
      <w:r w:rsidR="003935F1">
        <w:t xml:space="preserve"> </w:t>
      </w:r>
      <w:r w:rsidRPr="002D59F1">
        <w:rPr>
          <w:b/>
          <w:bCs/>
        </w:rPr>
        <w:t>2025</w:t>
      </w:r>
      <w:r w:rsidRPr="00AF77B7">
        <w:rPr>
          <w:b/>
        </w:rPr>
        <w:t xml:space="preserve"> </w:t>
      </w:r>
      <w:r w:rsidRPr="00AF77B7">
        <w:t>de 9h30 à 12h</w:t>
      </w:r>
      <w:r w:rsidR="00270187">
        <w:t>00</w:t>
      </w:r>
      <w:r w:rsidRPr="00AF77B7">
        <w:t xml:space="preserve"> –</w:t>
      </w:r>
      <w:r w:rsidRPr="006F216F">
        <w:t xml:space="preserve"> Salle - Tour Olivier de Serres, 78-84 rue Olivier de Serres, Paris 15</w:t>
      </w:r>
      <w:r w:rsidRPr="004547B3">
        <w:rPr>
          <w:vertAlign w:val="superscript"/>
        </w:rPr>
        <w:t>ème</w:t>
      </w:r>
    </w:p>
    <w:p w14:paraId="03A99251" w14:textId="77777777" w:rsidR="004547B3" w:rsidRDefault="004547B3" w:rsidP="002D59F1">
      <w:pPr>
        <w:jc w:val="both"/>
      </w:pPr>
    </w:p>
    <w:p w14:paraId="223D0BB6" w14:textId="03E1D941" w:rsidR="004547B3" w:rsidRDefault="00270187" w:rsidP="002D59F1">
      <w:pPr>
        <w:jc w:val="both"/>
        <w:rPr>
          <w:rFonts w:asciiTheme="minorHAnsi" w:hAnsiTheme="minorHAnsi" w:cstheme="minorBidi"/>
        </w:rPr>
      </w:pPr>
      <w:r>
        <w:rPr>
          <w:rFonts w:asciiTheme="minorHAnsi" w:hAnsiTheme="minorHAnsi" w:cstheme="minorBidi"/>
        </w:rPr>
        <w:t>Aucune intervention n’est proposée au moment de la rédaction du compte-rendu.</w:t>
      </w:r>
    </w:p>
    <w:p w14:paraId="02B50899" w14:textId="77777777" w:rsidR="00470930" w:rsidRDefault="00470930" w:rsidP="002D59F1">
      <w:pPr>
        <w:jc w:val="both"/>
      </w:pPr>
    </w:p>
    <w:p w14:paraId="39D2D779" w14:textId="755CC316" w:rsidR="00EF7D7E" w:rsidRDefault="00EF7D7E" w:rsidP="002D59F1">
      <w:pPr>
        <w:jc w:val="both"/>
      </w:pPr>
      <w:r>
        <w:t>Lien de connexion :</w:t>
      </w:r>
    </w:p>
    <w:p w14:paraId="7205C373" w14:textId="47929C49" w:rsidR="00AD28D1" w:rsidRPr="00AD28D1" w:rsidRDefault="00AD28D1" w:rsidP="00AD28D1">
      <w:pPr>
        <w:jc w:val="both"/>
      </w:pPr>
      <w:r w:rsidRPr="00AD28D1">
        <w:rPr>
          <w:b/>
          <w:bCs/>
        </w:rPr>
        <w:t>Microsoft Teams</w:t>
      </w:r>
      <w:r w:rsidRPr="00AD28D1">
        <w:t xml:space="preserve"> </w:t>
      </w:r>
    </w:p>
    <w:p w14:paraId="62280B8F" w14:textId="77777777" w:rsidR="00AD28D1" w:rsidRPr="00AD28D1" w:rsidRDefault="00AD28D1" w:rsidP="00AD28D1">
      <w:pPr>
        <w:jc w:val="both"/>
      </w:pPr>
      <w:hyperlink r:id="rId12" w:tgtFrame="_blank" w:tooltip="Meeting join link" w:history="1">
        <w:r w:rsidRPr="00AD28D1">
          <w:rPr>
            <w:rStyle w:val="Lienhypertexte"/>
            <w:b/>
            <w:bCs/>
          </w:rPr>
          <w:t>Rejoignez la réunion maintenant</w:t>
        </w:r>
      </w:hyperlink>
      <w:r w:rsidRPr="00AD28D1">
        <w:t xml:space="preserve"> </w:t>
      </w:r>
    </w:p>
    <w:p w14:paraId="355065A9" w14:textId="77777777" w:rsidR="00AD28D1" w:rsidRPr="00AD28D1" w:rsidRDefault="00AD28D1" w:rsidP="00AD28D1">
      <w:pPr>
        <w:jc w:val="both"/>
      </w:pPr>
      <w:r w:rsidRPr="00AD28D1">
        <w:t xml:space="preserve">ID de réunion : 316 074 721 658 8 </w:t>
      </w:r>
    </w:p>
    <w:p w14:paraId="6858CFC5" w14:textId="77777777" w:rsidR="00AD28D1" w:rsidRPr="00AD28D1" w:rsidRDefault="00AD28D1" w:rsidP="00AD28D1">
      <w:pPr>
        <w:jc w:val="both"/>
      </w:pPr>
      <w:r w:rsidRPr="00AD28D1">
        <w:lastRenderedPageBreak/>
        <w:t xml:space="preserve">Code secret : oz6fw6MH </w:t>
      </w:r>
    </w:p>
    <w:p w14:paraId="3227AE6E" w14:textId="77777777" w:rsidR="00AD28D1" w:rsidRPr="00AD28D1" w:rsidRDefault="00AD28D1" w:rsidP="00AD28D1">
      <w:pPr>
        <w:jc w:val="both"/>
      </w:pPr>
      <w:r w:rsidRPr="00AD28D1">
        <w:pict w14:anchorId="37848597">
          <v:rect id="_x0000_i1031" style="width:470.3pt;height:.75pt" o:hralign="center" o:hrstd="t" o:hr="t" fillcolor="#a0a0a0" stroked="f"/>
        </w:pict>
      </w:r>
    </w:p>
    <w:p w14:paraId="375B8116" w14:textId="77777777" w:rsidR="00AD28D1" w:rsidRPr="00AD28D1" w:rsidRDefault="00AD28D1" w:rsidP="00AD28D1">
      <w:pPr>
        <w:jc w:val="both"/>
      </w:pPr>
      <w:r w:rsidRPr="00AD28D1">
        <w:rPr>
          <w:b/>
          <w:bCs/>
        </w:rPr>
        <w:t>Participer par téléphone</w:t>
      </w:r>
      <w:r w:rsidRPr="00AD28D1">
        <w:t xml:space="preserve"> </w:t>
      </w:r>
    </w:p>
    <w:p w14:paraId="4C73FBA3" w14:textId="77777777" w:rsidR="00AD28D1" w:rsidRPr="00AD28D1" w:rsidRDefault="00AD28D1" w:rsidP="00AD28D1">
      <w:pPr>
        <w:jc w:val="both"/>
      </w:pPr>
      <w:hyperlink r:id="rId13" w:history="1">
        <w:r w:rsidRPr="00AD28D1">
          <w:rPr>
            <w:rStyle w:val="Lienhypertexte"/>
          </w:rPr>
          <w:t>+33 1 78 96 95 47,,101568701#</w:t>
        </w:r>
      </w:hyperlink>
      <w:r w:rsidRPr="00AD28D1">
        <w:t xml:space="preserve"> France, All locations </w:t>
      </w:r>
    </w:p>
    <w:p w14:paraId="18898378" w14:textId="77777777" w:rsidR="00AD28D1" w:rsidRPr="00AD28D1" w:rsidRDefault="00AD28D1" w:rsidP="00AD28D1">
      <w:pPr>
        <w:jc w:val="both"/>
      </w:pPr>
      <w:hyperlink r:id="rId14" w:history="1">
        <w:r w:rsidRPr="00AD28D1">
          <w:rPr>
            <w:rStyle w:val="Lienhypertexte"/>
          </w:rPr>
          <w:t>Trouver un numéro local</w:t>
        </w:r>
      </w:hyperlink>
      <w:r w:rsidRPr="00AD28D1">
        <w:t xml:space="preserve"> </w:t>
      </w:r>
    </w:p>
    <w:p w14:paraId="6E85519B" w14:textId="77777777" w:rsidR="00AD28D1" w:rsidRPr="00AD28D1" w:rsidRDefault="00AD28D1" w:rsidP="00AD28D1">
      <w:pPr>
        <w:jc w:val="both"/>
      </w:pPr>
      <w:r w:rsidRPr="00AD28D1">
        <w:t xml:space="preserve">ID de la conférence téléphonique : 101 568 701# </w:t>
      </w:r>
    </w:p>
    <w:p w14:paraId="3D117C30" w14:textId="77777777" w:rsidR="00AD28D1" w:rsidRDefault="00AD28D1" w:rsidP="002D59F1">
      <w:pPr>
        <w:jc w:val="both"/>
      </w:pPr>
    </w:p>
    <w:p w14:paraId="1B1482FB" w14:textId="77777777" w:rsidR="00EF7D7E" w:rsidRDefault="00EF7D7E" w:rsidP="002D59F1">
      <w:pPr>
        <w:jc w:val="both"/>
      </w:pPr>
    </w:p>
    <w:bookmarkEnd w:id="1"/>
    <w:p w14:paraId="66C95914" w14:textId="77777777" w:rsidR="002847B6" w:rsidRDefault="002847B6" w:rsidP="002D59F1">
      <w:pPr>
        <w:jc w:val="both"/>
      </w:pPr>
    </w:p>
    <w:sectPr w:rsidR="002847B6" w:rsidSect="0092148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13418D"/>
    <w:multiLevelType w:val="hybridMultilevel"/>
    <w:tmpl w:val="87AA0EE4"/>
    <w:lvl w:ilvl="0" w:tplc="FBF4442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55A24CF"/>
    <w:multiLevelType w:val="hybridMultilevel"/>
    <w:tmpl w:val="CCBCF654"/>
    <w:lvl w:ilvl="0" w:tplc="AE4E821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B674FFD"/>
    <w:multiLevelType w:val="hybridMultilevel"/>
    <w:tmpl w:val="F5B2716E"/>
    <w:lvl w:ilvl="0" w:tplc="C922A93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1082795">
    <w:abstractNumId w:val="2"/>
  </w:num>
  <w:num w:numId="2" w16cid:durableId="782311154">
    <w:abstractNumId w:val="1"/>
  </w:num>
  <w:num w:numId="3" w16cid:durableId="7346635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47B3"/>
    <w:rsid w:val="000266A4"/>
    <w:rsid w:val="00096EB9"/>
    <w:rsid w:val="000A183F"/>
    <w:rsid w:val="000B11B0"/>
    <w:rsid w:val="000C7005"/>
    <w:rsid w:val="000F02DC"/>
    <w:rsid w:val="000F514F"/>
    <w:rsid w:val="000F5CCC"/>
    <w:rsid w:val="00110C93"/>
    <w:rsid w:val="001A1FFD"/>
    <w:rsid w:val="002032FF"/>
    <w:rsid w:val="00222025"/>
    <w:rsid w:val="002537E7"/>
    <w:rsid w:val="002652CF"/>
    <w:rsid w:val="00270187"/>
    <w:rsid w:val="002847B6"/>
    <w:rsid w:val="0029352E"/>
    <w:rsid w:val="002A2A31"/>
    <w:rsid w:val="002C712F"/>
    <w:rsid w:val="002D4DE9"/>
    <w:rsid w:val="002D59F1"/>
    <w:rsid w:val="002E2A49"/>
    <w:rsid w:val="002F1566"/>
    <w:rsid w:val="003312B2"/>
    <w:rsid w:val="00352673"/>
    <w:rsid w:val="00374FF4"/>
    <w:rsid w:val="00384963"/>
    <w:rsid w:val="003935F1"/>
    <w:rsid w:val="003B1D6A"/>
    <w:rsid w:val="003C50E0"/>
    <w:rsid w:val="003F2419"/>
    <w:rsid w:val="00420965"/>
    <w:rsid w:val="00436F93"/>
    <w:rsid w:val="004542AB"/>
    <w:rsid w:val="004547B3"/>
    <w:rsid w:val="00470930"/>
    <w:rsid w:val="0048004E"/>
    <w:rsid w:val="00481177"/>
    <w:rsid w:val="00524719"/>
    <w:rsid w:val="005978FE"/>
    <w:rsid w:val="005E51C9"/>
    <w:rsid w:val="006047A5"/>
    <w:rsid w:val="006166A5"/>
    <w:rsid w:val="006323E2"/>
    <w:rsid w:val="0063495E"/>
    <w:rsid w:val="00660349"/>
    <w:rsid w:val="006747A2"/>
    <w:rsid w:val="006831E3"/>
    <w:rsid w:val="00685D10"/>
    <w:rsid w:val="006B0A51"/>
    <w:rsid w:val="00706932"/>
    <w:rsid w:val="00730E2A"/>
    <w:rsid w:val="0079051B"/>
    <w:rsid w:val="007B17A1"/>
    <w:rsid w:val="007E65B2"/>
    <w:rsid w:val="00814B54"/>
    <w:rsid w:val="008155F0"/>
    <w:rsid w:val="0081608E"/>
    <w:rsid w:val="008160E0"/>
    <w:rsid w:val="00824096"/>
    <w:rsid w:val="008336CD"/>
    <w:rsid w:val="00834DFA"/>
    <w:rsid w:val="00851743"/>
    <w:rsid w:val="008A13D6"/>
    <w:rsid w:val="009921F5"/>
    <w:rsid w:val="009C0CC3"/>
    <w:rsid w:val="009D1679"/>
    <w:rsid w:val="00A122DF"/>
    <w:rsid w:val="00A129F0"/>
    <w:rsid w:val="00A16EED"/>
    <w:rsid w:val="00A57AF3"/>
    <w:rsid w:val="00AC265E"/>
    <w:rsid w:val="00AD09DD"/>
    <w:rsid w:val="00AD28D1"/>
    <w:rsid w:val="00B0752D"/>
    <w:rsid w:val="00B12ECC"/>
    <w:rsid w:val="00B23AC5"/>
    <w:rsid w:val="00B60BB6"/>
    <w:rsid w:val="00B62716"/>
    <w:rsid w:val="00B655E0"/>
    <w:rsid w:val="00BA5EDE"/>
    <w:rsid w:val="00BD38FC"/>
    <w:rsid w:val="00C27DF7"/>
    <w:rsid w:val="00C950AD"/>
    <w:rsid w:val="00CC3BE5"/>
    <w:rsid w:val="00CC7590"/>
    <w:rsid w:val="00CF0E34"/>
    <w:rsid w:val="00D20000"/>
    <w:rsid w:val="00D25F00"/>
    <w:rsid w:val="00D65FC0"/>
    <w:rsid w:val="00D95EC9"/>
    <w:rsid w:val="00DB2754"/>
    <w:rsid w:val="00DB6CFC"/>
    <w:rsid w:val="00DB7432"/>
    <w:rsid w:val="00DD5907"/>
    <w:rsid w:val="00E133D3"/>
    <w:rsid w:val="00E3202E"/>
    <w:rsid w:val="00E56E60"/>
    <w:rsid w:val="00E70439"/>
    <w:rsid w:val="00E74EA7"/>
    <w:rsid w:val="00EB2CDD"/>
    <w:rsid w:val="00EE1337"/>
    <w:rsid w:val="00EF7D7E"/>
    <w:rsid w:val="00F82FDD"/>
    <w:rsid w:val="00FB39EF"/>
    <w:rsid w:val="00FC0AA4"/>
    <w:rsid w:val="00FF56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A07ECB"/>
  <w15:chartTrackingRefBased/>
  <w15:docId w15:val="{468C9FB0-80FC-4E4D-AF15-B9CAB619D2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47B3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4547B3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4547B3"/>
    <w:rPr>
      <w:color w:val="0000FF"/>
      <w:u w:val="single"/>
    </w:rPr>
  </w:style>
  <w:style w:type="character" w:customStyle="1" w:styleId="ui-provider">
    <w:name w:val="ui-provider"/>
    <w:basedOn w:val="Policepardfaut"/>
    <w:rsid w:val="004547B3"/>
  </w:style>
  <w:style w:type="paragraph" w:styleId="Paragraphedeliste">
    <w:name w:val="List Paragraph"/>
    <w:basedOn w:val="Normal"/>
    <w:uiPriority w:val="34"/>
    <w:qFormat/>
    <w:rsid w:val="004547B3"/>
    <w:pPr>
      <w:ind w:left="720"/>
      <w:contextualSpacing/>
    </w:pPr>
  </w:style>
  <w:style w:type="character" w:styleId="Mentionnonrsolue">
    <w:name w:val="Unresolved Mention"/>
    <w:basedOn w:val="Policepardfaut"/>
    <w:uiPriority w:val="99"/>
    <w:semiHidden/>
    <w:unhideWhenUsed/>
    <w:rsid w:val="00EE1337"/>
    <w:rPr>
      <w:color w:val="605E5C"/>
      <w:shd w:val="clear" w:color="auto" w:fill="E1DFDD"/>
    </w:rPr>
  </w:style>
  <w:style w:type="character" w:customStyle="1" w:styleId="me-email-text">
    <w:name w:val="me-email-text"/>
    <w:basedOn w:val="Policepardfaut"/>
    <w:rsid w:val="00EF7D7E"/>
  </w:style>
  <w:style w:type="character" w:customStyle="1" w:styleId="me-email-text-secondary">
    <w:name w:val="me-email-text-secondary"/>
    <w:basedOn w:val="Policepardfaut"/>
    <w:rsid w:val="00EF7D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36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27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ees.solidarites-sante.gouv.fr/publications-communique-de-presse/etudes-et-resultats/250304_ER_educatrices-specialisees-revenu-salarial-annuel-moyen-en-2021" TargetMode="External"/><Relationship Id="rId13" Type="http://schemas.openxmlformats.org/officeDocument/2006/relationships/hyperlink" Target="tel:+33178969547,,10156870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ata.drees.solidarites-sante.gouv.fr/explore/dataset/salaires-des-professionnels-du-social/information/" TargetMode="External"/><Relationship Id="rId12" Type="http://schemas.openxmlformats.org/officeDocument/2006/relationships/hyperlink" Target="https://teams.microsoft.com/l/meetup-join/19%3ameeting_YTNiY2MzZDMtMTViMy00ZDkwLTk0ZTgtYmUxMjVjNTYxNDlm%40thread.v2/0?context=%7b%22Tid%22%3a%22035e5292-5a25-4509-bb08-a555f7d31a8b%22%2c%22Oid%22%3a%22066076d7-7256-48fc-87d2-5b55b2d76a75%22%7d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drees.solidarites-sante.gouv.fr/article/groupe-detudes-analyses-quantitatives-sur-lhebergement-social-et-les-sans-domiciles" TargetMode="External"/><Relationship Id="rId11" Type="http://schemas.openxmlformats.org/officeDocument/2006/relationships/hyperlink" Target="https://auvergne-rhone-alpes.dreets.gouv.fr/Le-logement-adapte-en-Auvergne-Rhone-Alpes" TargetMode="External"/><Relationship Id="rId5" Type="http://schemas.openxmlformats.org/officeDocument/2006/relationships/image" Target="media/image1.jpeg"/><Relationship Id="rId15" Type="http://schemas.openxmlformats.org/officeDocument/2006/relationships/fontTable" Target="fontTable.xml"/><Relationship Id="rId10" Type="http://schemas.openxmlformats.org/officeDocument/2006/relationships/hyperlink" Target="https://www.drihl.ile-de-france.developpement-durable.gouv.fr/les-profils-et-les-trajectoires-des-residents-des-a1391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unafo.org/chiffres-unafo-2022/" TargetMode="External"/><Relationship Id="rId14" Type="http://schemas.openxmlformats.org/officeDocument/2006/relationships/hyperlink" Target="https://dialin.teams.microsoft.com/cece47aa-7e4c-4006-9dc1-583607faaf50?id=101568701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454</TotalTime>
  <Pages>4</Pages>
  <Words>1599</Words>
  <Characters>8797</Characters>
  <Application>Microsoft Office Word</Application>
  <DocSecurity>0</DocSecurity>
  <Lines>73</Lines>
  <Paragraphs>20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Ministeres Sociaux</Company>
  <LinksUpToDate>false</LinksUpToDate>
  <CharactersWithSpaces>10376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LARDOUX, Carole (DREES/OSOL/BLCE/EXTERNES)</dc:creator>
  <cp:keywords/>
  <dc:description/>
  <cp:lastModifiedBy>LARDOUX, Carole (DREES/OSOL/BLCE/EXTERNES)</cp:lastModifiedBy>
  <cp:revision>55</cp:revision>
  <dcterms:created xsi:type="dcterms:W3CDTF">2025-02-14T16:16:00Z</dcterms:created>
  <dcterms:modified xsi:type="dcterms:W3CDTF">2025-06-13T14:39:00Z</dcterms:modified>
</cp:coreProperties>
</file>