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D3985" w14:textId="37C32B1D" w:rsidR="006D21D6" w:rsidRDefault="00BC7206" w:rsidP="00DE0A93">
      <w:pPr>
        <w:tabs>
          <w:tab w:val="center" w:pos="4536"/>
          <w:tab w:val="left" w:pos="7095"/>
        </w:tabs>
        <w:spacing w:before="240"/>
        <w:rPr>
          <w:rFonts w:cs="Times New Roman"/>
          <w:noProof/>
          <w14:ligatures w14:val="standardContextual"/>
        </w:rPr>
      </w:pPr>
      <w:r w:rsidRPr="003E3785">
        <w:rPr>
          <w:rFonts w:cs="Times New Roman"/>
          <w:noProof/>
          <w:lang w:eastAsia="fr-FR"/>
        </w:rPr>
        <w:drawing>
          <wp:anchor distT="0" distB="0" distL="114300" distR="114300" simplePos="0" relativeHeight="251659264" behindDoc="0" locked="0" layoutInCell="1" allowOverlap="1" wp14:anchorId="2148A5CE" wp14:editId="0C107E4B">
            <wp:simplePos x="0" y="0"/>
            <wp:positionH relativeFrom="margin">
              <wp:posOffset>123825</wp:posOffset>
            </wp:positionH>
            <wp:positionV relativeFrom="paragraph">
              <wp:posOffset>156210</wp:posOffset>
            </wp:positionV>
            <wp:extent cx="1332865" cy="752475"/>
            <wp:effectExtent l="0" t="0" r="635" b="952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8"/>
                    <a:stretch>
                      <a:fillRect/>
                    </a:stretch>
                  </pic:blipFill>
                  <pic:spPr bwMode="auto">
                    <a:xfrm>
                      <a:off x="0" y="0"/>
                      <a:ext cx="1332865" cy="7524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35A54536" wp14:editId="6F158BE0">
            <wp:simplePos x="0" y="0"/>
            <wp:positionH relativeFrom="margin">
              <wp:posOffset>1923415</wp:posOffset>
            </wp:positionH>
            <wp:positionV relativeFrom="paragraph">
              <wp:posOffset>156845</wp:posOffset>
            </wp:positionV>
            <wp:extent cx="1111250" cy="607695"/>
            <wp:effectExtent l="0" t="0" r="0" b="1905"/>
            <wp:wrapTight wrapText="bothSides">
              <wp:wrapPolygon edited="0">
                <wp:start x="0" y="0"/>
                <wp:lineTo x="0" y="20991"/>
                <wp:lineTo x="21106" y="20991"/>
                <wp:lineTo x="21106" y="0"/>
                <wp:lineTo x="0" y="0"/>
              </wp:wrapPolygon>
            </wp:wrapTight>
            <wp:docPr id="159699085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11250" cy="607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180A4CF2" wp14:editId="6FB6FE94">
            <wp:simplePos x="0" y="0"/>
            <wp:positionH relativeFrom="column">
              <wp:posOffset>3397885</wp:posOffset>
            </wp:positionH>
            <wp:positionV relativeFrom="paragraph">
              <wp:posOffset>156845</wp:posOffset>
            </wp:positionV>
            <wp:extent cx="1087755" cy="543560"/>
            <wp:effectExtent l="0" t="0" r="0" b="8890"/>
            <wp:wrapThrough wrapText="bothSides">
              <wp:wrapPolygon edited="0">
                <wp:start x="0" y="0"/>
                <wp:lineTo x="0" y="21196"/>
                <wp:lineTo x="21184" y="21196"/>
                <wp:lineTo x="21184" y="0"/>
                <wp:lineTo x="0" y="0"/>
              </wp:wrapPolygon>
            </wp:wrapThrough>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7755"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14:anchorId="526F9AC3" wp14:editId="6FC9C1F5">
            <wp:simplePos x="0" y="0"/>
            <wp:positionH relativeFrom="margin">
              <wp:posOffset>4547235</wp:posOffset>
            </wp:positionH>
            <wp:positionV relativeFrom="margin">
              <wp:posOffset>161925</wp:posOffset>
            </wp:positionV>
            <wp:extent cx="1133475" cy="708025"/>
            <wp:effectExtent l="0" t="0" r="9525" b="0"/>
            <wp:wrapSquare wrapText="bothSides"/>
            <wp:docPr id="13578539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33475"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675A">
        <w:rPr>
          <w:noProof/>
        </w:rPr>
        <w:t xml:space="preserve"> </w:t>
      </w:r>
      <w:r w:rsidR="00F6675A">
        <w:rPr>
          <w:rFonts w:cs="Times New Roman"/>
          <w:noProof/>
          <w14:ligatures w14:val="standardContextual"/>
        </w:rPr>
        <w:t xml:space="preserve"> </w:t>
      </w:r>
    </w:p>
    <w:p w14:paraId="72FE1A1B" w14:textId="0F2302FE" w:rsidR="006D21D6" w:rsidRDefault="006D21D6" w:rsidP="00DE0A93">
      <w:pPr>
        <w:tabs>
          <w:tab w:val="center" w:pos="4536"/>
          <w:tab w:val="left" w:pos="7095"/>
        </w:tabs>
        <w:spacing w:before="240"/>
        <w:rPr>
          <w:rFonts w:cs="Times New Roman"/>
          <w:noProof/>
          <w14:ligatures w14:val="standardContextual"/>
        </w:rPr>
      </w:pPr>
    </w:p>
    <w:p w14:paraId="6A2A25B3" w14:textId="76DD3476" w:rsidR="00EA51EB" w:rsidRDefault="00EA51EB" w:rsidP="00DE0A93">
      <w:pPr>
        <w:tabs>
          <w:tab w:val="center" w:pos="4536"/>
          <w:tab w:val="left" w:pos="7095"/>
        </w:tabs>
        <w:spacing w:before="240"/>
        <w:rPr>
          <w:rFonts w:cs="Times New Roman"/>
        </w:rPr>
      </w:pPr>
      <w:bookmarkStart w:id="0" w:name="_Hlk190359685"/>
      <w:bookmarkEnd w:id="0"/>
    </w:p>
    <w:p w14:paraId="5E4B5024" w14:textId="499F999E" w:rsidR="00604124" w:rsidRPr="000D54EF" w:rsidRDefault="004F0268" w:rsidP="008F5DE8">
      <w:pPr>
        <w:pBdr>
          <w:top w:val="single" w:sz="6" w:space="1" w:color="000000"/>
          <w:left w:val="single" w:sz="6" w:space="4" w:color="000000"/>
          <w:bottom w:val="single" w:sz="6" w:space="1" w:color="000000"/>
          <w:right w:val="single" w:sz="6" w:space="4" w:color="000000"/>
        </w:pBdr>
        <w:shd w:val="clear" w:color="auto" w:fill="BFBFBF"/>
        <w:spacing w:before="240"/>
        <w:jc w:val="center"/>
        <w:rPr>
          <w:rFonts w:cs="Times New Roman"/>
        </w:rPr>
      </w:pPr>
      <w:r w:rsidRPr="003E3785">
        <w:rPr>
          <w:rFonts w:cs="Times New Roman"/>
          <w:b/>
          <w:sz w:val="36"/>
          <w:szCs w:val="36"/>
        </w:rPr>
        <w:t>A</w:t>
      </w:r>
      <w:r w:rsidR="006E6E36" w:rsidRPr="003E3785">
        <w:rPr>
          <w:rFonts w:cs="Times New Roman"/>
          <w:b/>
          <w:sz w:val="36"/>
          <w:szCs w:val="36"/>
        </w:rPr>
        <w:t xml:space="preserve">ppel à projets de </w:t>
      </w:r>
      <w:r w:rsidR="006E6E36" w:rsidRPr="000D54EF">
        <w:rPr>
          <w:rFonts w:cs="Times New Roman"/>
          <w:b/>
          <w:sz w:val="36"/>
          <w:szCs w:val="36"/>
        </w:rPr>
        <w:t>recherche 202</w:t>
      </w:r>
      <w:r w:rsidR="000D54EF" w:rsidRPr="000D54EF">
        <w:rPr>
          <w:rFonts w:cs="Times New Roman"/>
          <w:b/>
          <w:sz w:val="36"/>
          <w:szCs w:val="36"/>
        </w:rPr>
        <w:t>6</w:t>
      </w:r>
    </w:p>
    <w:p w14:paraId="0A4E683F" w14:textId="3F483288" w:rsidR="00604124" w:rsidRPr="003A22EB" w:rsidRDefault="000D54EF" w:rsidP="008F5DE8">
      <w:pPr>
        <w:pBdr>
          <w:top w:val="single" w:sz="6" w:space="1" w:color="000000"/>
          <w:left w:val="single" w:sz="6" w:space="4" w:color="000000"/>
          <w:bottom w:val="single" w:sz="6" w:space="1" w:color="000000"/>
          <w:right w:val="single" w:sz="6" w:space="4" w:color="000000"/>
        </w:pBdr>
        <w:shd w:val="clear" w:color="auto" w:fill="BFBFBF"/>
        <w:jc w:val="center"/>
        <w:rPr>
          <w:rFonts w:cs="Times New Roman"/>
          <w:b/>
          <w:bCs/>
          <w:i/>
          <w:iCs/>
          <w:sz w:val="44"/>
          <w:szCs w:val="44"/>
        </w:rPr>
      </w:pPr>
      <w:r w:rsidRPr="000D54EF">
        <w:rPr>
          <w:rFonts w:cs="Times New Roman"/>
          <w:b/>
          <w:bCs/>
          <w:i/>
          <w:iCs/>
          <w:sz w:val="44"/>
          <w:szCs w:val="44"/>
        </w:rPr>
        <w:t>Requestionner la santé mentale : des souffrances psychiques aux conduites suicidaires</w:t>
      </w:r>
    </w:p>
    <w:p w14:paraId="690FB869" w14:textId="77777777" w:rsidR="00B248A6" w:rsidRDefault="004F0268" w:rsidP="008F5DE8">
      <w:pPr>
        <w:pStyle w:val="Corpsdetexte"/>
        <w:spacing w:before="240" w:after="200" w:line="276" w:lineRule="auto"/>
        <w:jc w:val="center"/>
        <w:rPr>
          <w:b/>
          <w:smallCaps/>
          <w:sz w:val="28"/>
          <w:szCs w:val="28"/>
        </w:rPr>
      </w:pPr>
      <w:r w:rsidRPr="00EA51EB">
        <w:rPr>
          <w:b/>
          <w:smallCaps/>
          <w:sz w:val="28"/>
          <w:szCs w:val="28"/>
        </w:rPr>
        <w:t xml:space="preserve">Date de </w:t>
      </w:r>
      <w:r w:rsidRPr="000D54EF">
        <w:rPr>
          <w:b/>
          <w:smallCaps/>
          <w:sz w:val="28"/>
          <w:szCs w:val="28"/>
        </w:rPr>
        <w:t xml:space="preserve">clôture de l’appel à projets de recherche : </w:t>
      </w:r>
    </w:p>
    <w:p w14:paraId="21CF42CD" w14:textId="2093A7E9" w:rsidR="00604124" w:rsidRPr="003E3785" w:rsidRDefault="00B248A6" w:rsidP="008F5DE8">
      <w:pPr>
        <w:pStyle w:val="Corpsdetexte"/>
        <w:spacing w:before="240" w:after="200" w:line="276" w:lineRule="auto"/>
        <w:jc w:val="center"/>
      </w:pPr>
      <w:r>
        <w:rPr>
          <w:b/>
          <w:color w:val="000000"/>
          <w:sz w:val="28"/>
          <w:szCs w:val="28"/>
          <w:u w:val="single"/>
        </w:rPr>
        <w:t>L</w:t>
      </w:r>
      <w:r w:rsidR="000D54EF" w:rsidRPr="000D54EF">
        <w:rPr>
          <w:b/>
          <w:color w:val="000000"/>
          <w:sz w:val="28"/>
          <w:szCs w:val="28"/>
          <w:u w:val="single"/>
        </w:rPr>
        <w:t>undi</w:t>
      </w:r>
      <w:r w:rsidR="004F0268" w:rsidRPr="000D54EF">
        <w:rPr>
          <w:b/>
          <w:color w:val="000000"/>
          <w:sz w:val="28"/>
          <w:szCs w:val="28"/>
          <w:u w:val="single"/>
        </w:rPr>
        <w:t> </w:t>
      </w:r>
      <w:r w:rsidR="00C3126D">
        <w:rPr>
          <w:b/>
          <w:color w:val="000000"/>
          <w:sz w:val="28"/>
          <w:szCs w:val="28"/>
          <w:u w:val="single"/>
        </w:rPr>
        <w:t>30 novembre</w:t>
      </w:r>
      <w:r w:rsidR="000D54EF">
        <w:rPr>
          <w:b/>
          <w:color w:val="000000"/>
          <w:sz w:val="28"/>
          <w:szCs w:val="28"/>
          <w:u w:val="single"/>
        </w:rPr>
        <w:t xml:space="preserve"> 2026 (midi, heure de Paris)</w:t>
      </w:r>
      <w:r w:rsidR="00EA51EB" w:rsidRPr="00EA51EB">
        <w:rPr>
          <w:b/>
          <w:color w:val="000000"/>
          <w:sz w:val="28"/>
          <w:szCs w:val="28"/>
        </w:rPr>
        <w:tab/>
      </w:r>
    </w:p>
    <w:p w14:paraId="56388E6C" w14:textId="1641DCE3" w:rsidR="008A44C2" w:rsidRPr="00B3072A" w:rsidRDefault="00B3072A" w:rsidP="00B3072A">
      <w:pPr>
        <w:tabs>
          <w:tab w:val="left" w:pos="0"/>
        </w:tabs>
        <w:spacing w:before="120" w:after="120"/>
        <w:rPr>
          <w:rFonts w:cs="Times New Roman"/>
          <w:b/>
          <w:bCs/>
          <w:u w:val="single"/>
        </w:rPr>
      </w:pPr>
      <w:r>
        <w:rPr>
          <w:rFonts w:cs="Times New Roman"/>
        </w:rPr>
        <w:tab/>
      </w:r>
      <w:r w:rsidR="005422A1" w:rsidRPr="00B3072A">
        <w:rPr>
          <w:rFonts w:cs="Times New Roman"/>
        </w:rPr>
        <w:t>L</w:t>
      </w:r>
      <w:r w:rsidR="004F0268" w:rsidRPr="00B3072A">
        <w:rPr>
          <w:rFonts w:cs="Times New Roman"/>
        </w:rPr>
        <w:t>a Mission Recherche (MiRe) de la Direction de la recherche, des études, de l’évaluation et des statistiques (</w:t>
      </w:r>
      <w:r w:rsidR="006A193D">
        <w:rPr>
          <w:rFonts w:cs="Times New Roman"/>
        </w:rPr>
        <w:t>Drees</w:t>
      </w:r>
      <w:r w:rsidR="004F0268" w:rsidRPr="00B3072A">
        <w:rPr>
          <w:rFonts w:cs="Times New Roman"/>
        </w:rPr>
        <w:t>)</w:t>
      </w:r>
      <w:r w:rsidR="002F245F">
        <w:rPr>
          <w:rFonts w:cs="Times New Roman"/>
        </w:rPr>
        <w:t>,</w:t>
      </w:r>
      <w:r w:rsidR="00D157DB">
        <w:rPr>
          <w:rFonts w:cs="Times New Roman"/>
        </w:rPr>
        <w:t xml:space="preserve"> l’Observatoire national du suicide (ONS)</w:t>
      </w:r>
      <w:r w:rsidR="002F245F">
        <w:rPr>
          <w:rFonts w:cs="Times New Roman"/>
        </w:rPr>
        <w:t xml:space="preserve"> et l’Institut national de la jeunesse et de l’éducation populaire (Injep)</w:t>
      </w:r>
      <w:r w:rsidR="004F0268" w:rsidRPr="00B3072A">
        <w:rPr>
          <w:rFonts w:cs="Times New Roman"/>
        </w:rPr>
        <w:t xml:space="preserve"> la</w:t>
      </w:r>
      <w:r w:rsidR="004F0268" w:rsidRPr="006D21D6">
        <w:rPr>
          <w:rFonts w:cs="Times New Roman"/>
        </w:rPr>
        <w:t>ncent un</w:t>
      </w:r>
      <w:r w:rsidR="004F0268" w:rsidRPr="00B3072A">
        <w:rPr>
          <w:rFonts w:cs="Times New Roman"/>
        </w:rPr>
        <w:t xml:space="preserve"> </w:t>
      </w:r>
      <w:r w:rsidR="004F0268" w:rsidRPr="00B3072A">
        <w:rPr>
          <w:rFonts w:cs="Times New Roman"/>
          <w:b/>
          <w:bCs/>
          <w:u w:val="single"/>
        </w:rPr>
        <w:t>appel à projets de recherche</w:t>
      </w:r>
      <w:r w:rsidR="00FD7EA1" w:rsidRPr="00B3072A">
        <w:rPr>
          <w:rFonts w:cs="Times New Roman"/>
          <w:b/>
          <w:bCs/>
          <w:u w:val="single"/>
        </w:rPr>
        <w:t xml:space="preserve"> (APR)</w:t>
      </w:r>
      <w:r w:rsidR="004F0268" w:rsidRPr="00B3072A">
        <w:rPr>
          <w:rFonts w:cs="Times New Roman"/>
          <w:b/>
          <w:bCs/>
          <w:u w:val="single"/>
        </w:rPr>
        <w:t xml:space="preserve"> scientifique </w:t>
      </w:r>
      <w:r w:rsidR="00E66F15">
        <w:rPr>
          <w:rFonts w:cs="Times New Roman"/>
          <w:b/>
          <w:bCs/>
          <w:u w:val="single"/>
        </w:rPr>
        <w:t>intitulé « </w:t>
      </w:r>
      <w:r w:rsidR="00601BC8">
        <w:rPr>
          <w:rFonts w:cs="Times New Roman"/>
          <w:b/>
          <w:bCs/>
          <w:u w:val="single"/>
        </w:rPr>
        <w:t>R</w:t>
      </w:r>
      <w:r w:rsidR="00E66F15">
        <w:rPr>
          <w:rFonts w:cs="Times New Roman"/>
          <w:b/>
          <w:bCs/>
          <w:u w:val="single"/>
        </w:rPr>
        <w:t>equestionner la santé mentale : des souffrance</w:t>
      </w:r>
      <w:r w:rsidR="00A60E90">
        <w:rPr>
          <w:rFonts w:cs="Times New Roman"/>
          <w:b/>
          <w:bCs/>
          <w:u w:val="single"/>
        </w:rPr>
        <w:t>s</w:t>
      </w:r>
      <w:r w:rsidR="00E66F15">
        <w:rPr>
          <w:rFonts w:cs="Times New Roman"/>
          <w:b/>
          <w:bCs/>
          <w:u w:val="single"/>
        </w:rPr>
        <w:t xml:space="preserve"> psychiques aux conduites suicid</w:t>
      </w:r>
      <w:r w:rsidR="00E66F15" w:rsidRPr="00E66F15">
        <w:rPr>
          <w:rFonts w:cs="Times New Roman"/>
          <w:b/>
          <w:bCs/>
          <w:u w:val="single"/>
        </w:rPr>
        <w:t>aires »</w:t>
      </w:r>
      <w:r w:rsidR="0048734D" w:rsidRPr="00E66F15">
        <w:rPr>
          <w:rFonts w:cs="Times New Roman"/>
          <w:b/>
          <w:bCs/>
          <w:u w:val="single"/>
        </w:rPr>
        <w:t>.</w:t>
      </w:r>
    </w:p>
    <w:p w14:paraId="71271917" w14:textId="2D2CD49F" w:rsidR="008A44C2" w:rsidRPr="006D21D6" w:rsidRDefault="00B3072A" w:rsidP="00B3072A">
      <w:pPr>
        <w:tabs>
          <w:tab w:val="left" w:pos="0"/>
        </w:tabs>
        <w:spacing w:before="120" w:after="120"/>
        <w:rPr>
          <w:rFonts w:cs="Times New Roman"/>
        </w:rPr>
      </w:pPr>
      <w:r>
        <w:rPr>
          <w:rFonts w:cs="Times New Roman"/>
        </w:rPr>
        <w:tab/>
      </w:r>
      <w:r w:rsidR="004F0268" w:rsidRPr="006D21D6">
        <w:rPr>
          <w:rFonts w:cs="Times New Roman"/>
        </w:rPr>
        <w:t xml:space="preserve">La structuration </w:t>
      </w:r>
      <w:r w:rsidR="00FD7EA1" w:rsidRPr="006D21D6">
        <w:rPr>
          <w:rFonts w:cs="Times New Roman"/>
        </w:rPr>
        <w:t xml:space="preserve">de </w:t>
      </w:r>
      <w:r w:rsidR="004F0268" w:rsidRPr="006D21D6">
        <w:rPr>
          <w:rFonts w:cs="Times New Roman"/>
        </w:rPr>
        <w:t>cet appel</w:t>
      </w:r>
      <w:r w:rsidR="0011084A" w:rsidRPr="006D21D6">
        <w:rPr>
          <w:rFonts w:cs="Times New Roman"/>
        </w:rPr>
        <w:t xml:space="preserve"> </w:t>
      </w:r>
      <w:r w:rsidR="004F0268" w:rsidRPr="006D21D6">
        <w:rPr>
          <w:rFonts w:cs="Times New Roman"/>
        </w:rPr>
        <w:t>repos</w:t>
      </w:r>
      <w:r w:rsidR="00A15B45" w:rsidRPr="006D21D6">
        <w:rPr>
          <w:rFonts w:cs="Times New Roman"/>
        </w:rPr>
        <w:t>e</w:t>
      </w:r>
      <w:r w:rsidR="00F76A61" w:rsidRPr="006D21D6">
        <w:rPr>
          <w:rFonts w:cs="Times New Roman"/>
        </w:rPr>
        <w:t xml:space="preserve"> à la fois</w:t>
      </w:r>
      <w:r w:rsidR="004F0268" w:rsidRPr="006D21D6">
        <w:rPr>
          <w:rFonts w:cs="Times New Roman"/>
        </w:rPr>
        <w:t xml:space="preserve"> sur</w:t>
      </w:r>
      <w:r w:rsidR="00FD7EA1" w:rsidRPr="006D21D6">
        <w:rPr>
          <w:rFonts w:cs="Times New Roman"/>
        </w:rPr>
        <w:t xml:space="preserve"> </w:t>
      </w:r>
      <w:r w:rsidR="004D69BF" w:rsidRPr="006D21D6">
        <w:rPr>
          <w:rFonts w:cs="Times New Roman"/>
        </w:rPr>
        <w:t xml:space="preserve">un </w:t>
      </w:r>
      <w:r w:rsidR="00FD7EA1" w:rsidRPr="006D21D6">
        <w:rPr>
          <w:rFonts w:cs="Times New Roman"/>
        </w:rPr>
        <w:t>travail bibliographique</w:t>
      </w:r>
      <w:r w:rsidR="0011084A" w:rsidRPr="006D21D6">
        <w:rPr>
          <w:rFonts w:cs="Times New Roman"/>
        </w:rPr>
        <w:t xml:space="preserve"> </w:t>
      </w:r>
      <w:r w:rsidR="00367C76" w:rsidRPr="006D21D6">
        <w:rPr>
          <w:rFonts w:cs="Times New Roman"/>
        </w:rPr>
        <w:t>de</w:t>
      </w:r>
      <w:r w:rsidR="0011084A" w:rsidRPr="006D21D6">
        <w:rPr>
          <w:rFonts w:cs="Times New Roman"/>
        </w:rPr>
        <w:t xml:space="preserve"> la littérature scientifique</w:t>
      </w:r>
      <w:r w:rsidR="000D54EF" w:rsidRPr="006D21D6">
        <w:rPr>
          <w:rFonts w:cs="Times New Roman"/>
        </w:rPr>
        <w:t xml:space="preserve"> et</w:t>
      </w:r>
      <w:r w:rsidR="00150A2C" w:rsidRPr="006D21D6">
        <w:rPr>
          <w:rFonts w:cs="Times New Roman"/>
        </w:rPr>
        <w:t xml:space="preserve"> </w:t>
      </w:r>
      <w:r w:rsidR="0011084A" w:rsidRPr="006D21D6">
        <w:rPr>
          <w:rFonts w:cs="Times New Roman"/>
        </w:rPr>
        <w:t>sur</w:t>
      </w:r>
      <w:r w:rsidR="0048734D" w:rsidRPr="006D21D6">
        <w:rPr>
          <w:rFonts w:cs="Times New Roman"/>
        </w:rPr>
        <w:t xml:space="preserve"> l’examen</w:t>
      </w:r>
      <w:r w:rsidR="0011084A" w:rsidRPr="006D21D6">
        <w:rPr>
          <w:rFonts w:cs="Times New Roman"/>
        </w:rPr>
        <w:t xml:space="preserve"> de rapports institutionnels</w:t>
      </w:r>
      <w:r w:rsidR="005422A1" w:rsidRPr="006D21D6">
        <w:rPr>
          <w:rFonts w:cs="Times New Roman"/>
        </w:rPr>
        <w:t xml:space="preserve">. </w:t>
      </w:r>
      <w:r w:rsidR="0048734D" w:rsidRPr="006D21D6">
        <w:rPr>
          <w:rFonts w:cs="Times New Roman"/>
        </w:rPr>
        <w:t>L’ensemble de ces</w:t>
      </w:r>
      <w:r w:rsidR="00F76A61" w:rsidRPr="006D21D6">
        <w:rPr>
          <w:rFonts w:cs="Times New Roman"/>
        </w:rPr>
        <w:t xml:space="preserve"> réflexions </w:t>
      </w:r>
      <w:r w:rsidR="0048734D" w:rsidRPr="006D21D6">
        <w:rPr>
          <w:rFonts w:cs="Times New Roman"/>
        </w:rPr>
        <w:t>a permis</w:t>
      </w:r>
      <w:r w:rsidR="004F0268" w:rsidRPr="006D21D6">
        <w:rPr>
          <w:rFonts w:cs="Times New Roman"/>
        </w:rPr>
        <w:t xml:space="preserve"> d’identifier des thématiques encore peu traitées par la recherche</w:t>
      </w:r>
      <w:r w:rsidR="00E66F15" w:rsidRPr="006D21D6">
        <w:rPr>
          <w:rFonts w:cs="Times New Roman"/>
        </w:rPr>
        <w:t xml:space="preserve"> académique</w:t>
      </w:r>
      <w:r w:rsidR="00C80D16" w:rsidRPr="006D21D6">
        <w:rPr>
          <w:rFonts w:cs="Times New Roman"/>
        </w:rPr>
        <w:t xml:space="preserve"> et </w:t>
      </w:r>
      <w:r w:rsidR="00315CDF" w:rsidRPr="006D21D6">
        <w:rPr>
          <w:rFonts w:cs="Times New Roman"/>
        </w:rPr>
        <w:t xml:space="preserve">de proposer des questionnements </w:t>
      </w:r>
      <w:r w:rsidR="00C80D16" w:rsidRPr="006D21D6">
        <w:rPr>
          <w:rFonts w:cs="Times New Roman"/>
        </w:rPr>
        <w:t>suscitant l’intérêt de l’action publique</w:t>
      </w:r>
      <w:r w:rsidR="004F0268" w:rsidRPr="006D21D6">
        <w:rPr>
          <w:rFonts w:cs="Times New Roman"/>
        </w:rPr>
        <w:t>.</w:t>
      </w:r>
    </w:p>
    <w:p w14:paraId="48C653FA" w14:textId="435C8002" w:rsidR="008A44C2" w:rsidRPr="006D21D6" w:rsidRDefault="00B3072A" w:rsidP="00B3072A">
      <w:pPr>
        <w:tabs>
          <w:tab w:val="left" w:pos="0"/>
        </w:tabs>
        <w:spacing w:before="120" w:after="120"/>
        <w:rPr>
          <w:rFonts w:cs="Times New Roman"/>
        </w:rPr>
      </w:pPr>
      <w:r w:rsidRPr="006D21D6">
        <w:rPr>
          <w:rFonts w:cs="Times New Roman"/>
        </w:rPr>
        <w:tab/>
      </w:r>
      <w:r w:rsidR="00B33580" w:rsidRPr="006D21D6">
        <w:rPr>
          <w:rFonts w:cs="Times New Roman"/>
        </w:rPr>
        <w:t xml:space="preserve">L’appel à projets a ainsi vocation </w:t>
      </w:r>
      <w:r w:rsidR="004875C1" w:rsidRPr="006D21D6">
        <w:rPr>
          <w:rFonts w:cs="Times New Roman"/>
        </w:rPr>
        <w:t>à</w:t>
      </w:r>
      <w:r w:rsidR="00B33580" w:rsidRPr="006D21D6">
        <w:rPr>
          <w:rFonts w:cs="Times New Roman"/>
        </w:rPr>
        <w:t xml:space="preserve"> jou</w:t>
      </w:r>
      <w:r w:rsidR="00416A54" w:rsidRPr="006D21D6">
        <w:rPr>
          <w:rFonts w:cs="Times New Roman"/>
        </w:rPr>
        <w:t>er</w:t>
      </w:r>
      <w:r w:rsidR="00B33580" w:rsidRPr="006D21D6">
        <w:rPr>
          <w:rFonts w:cs="Times New Roman"/>
        </w:rPr>
        <w:t xml:space="preserve"> un rôle structurant d’émergence de connaissances qui pourraient éclairer et nourrir les actions et les réflexions</w:t>
      </w:r>
      <w:r w:rsidR="00E66F15" w:rsidRPr="006D21D6">
        <w:rPr>
          <w:rFonts w:cs="Times New Roman"/>
        </w:rPr>
        <w:t>,</w:t>
      </w:r>
      <w:r w:rsidR="003236BE" w:rsidRPr="006D21D6">
        <w:rPr>
          <w:rFonts w:cs="Times New Roman"/>
        </w:rPr>
        <w:t xml:space="preserve"> en particulier</w:t>
      </w:r>
      <w:r w:rsidR="00B33580" w:rsidRPr="006D21D6">
        <w:rPr>
          <w:rFonts w:cs="Times New Roman"/>
        </w:rPr>
        <w:t xml:space="preserve"> des </w:t>
      </w:r>
      <w:r w:rsidR="00F55EDA" w:rsidRPr="006D21D6">
        <w:rPr>
          <w:rFonts w:cs="Times New Roman"/>
        </w:rPr>
        <w:t>financeurs</w:t>
      </w:r>
      <w:r w:rsidR="00B33580" w:rsidRPr="006D21D6">
        <w:rPr>
          <w:rFonts w:cs="Times New Roman"/>
        </w:rPr>
        <w:t xml:space="preserve"> du programme. </w:t>
      </w:r>
      <w:r w:rsidR="00F55EDA" w:rsidRPr="006D21D6">
        <w:rPr>
          <w:rFonts w:cs="Times New Roman"/>
        </w:rPr>
        <w:t>L</w:t>
      </w:r>
      <w:r w:rsidR="00B33580" w:rsidRPr="006D21D6">
        <w:rPr>
          <w:rFonts w:cs="Times New Roman"/>
        </w:rPr>
        <w:t xml:space="preserve">a </w:t>
      </w:r>
      <w:r w:rsidR="00367C76" w:rsidRPr="006D21D6">
        <w:rPr>
          <w:rFonts w:cs="Times New Roman"/>
        </w:rPr>
        <w:t>MiRe</w:t>
      </w:r>
      <w:r w:rsidR="00B33580" w:rsidRPr="006D21D6">
        <w:rPr>
          <w:rFonts w:cs="Times New Roman"/>
        </w:rPr>
        <w:t xml:space="preserve"> de la </w:t>
      </w:r>
      <w:r w:rsidR="006A193D" w:rsidRPr="006D21D6">
        <w:rPr>
          <w:rFonts w:cs="Times New Roman"/>
        </w:rPr>
        <w:t>Drees</w:t>
      </w:r>
      <w:r w:rsidR="006D21D6" w:rsidRPr="006D21D6">
        <w:rPr>
          <w:rFonts w:cs="Times New Roman"/>
        </w:rPr>
        <w:t xml:space="preserve"> </w:t>
      </w:r>
      <w:r w:rsidR="00B33580" w:rsidRPr="006D21D6">
        <w:rPr>
          <w:rFonts w:cs="Times New Roman"/>
        </w:rPr>
        <w:t xml:space="preserve">propose aux équipes financées un accompagnement pour faciliter le dialogue </w:t>
      </w:r>
      <w:r w:rsidR="000A6790" w:rsidRPr="006D21D6">
        <w:rPr>
          <w:rFonts w:cs="Times New Roman"/>
        </w:rPr>
        <w:t>au sein du programme</w:t>
      </w:r>
      <w:r w:rsidR="0048734D" w:rsidRPr="006D21D6">
        <w:rPr>
          <w:rFonts w:cs="Times New Roman"/>
        </w:rPr>
        <w:t xml:space="preserve"> et aux</w:t>
      </w:r>
      <w:r w:rsidR="00B33580" w:rsidRPr="006D21D6">
        <w:rPr>
          <w:rFonts w:cs="Times New Roman"/>
        </w:rPr>
        <w:t xml:space="preserve"> </w:t>
      </w:r>
      <w:r w:rsidR="0048734D" w:rsidRPr="006D21D6">
        <w:rPr>
          <w:rFonts w:cs="Times New Roman"/>
        </w:rPr>
        <w:t>transferts</w:t>
      </w:r>
      <w:r w:rsidR="00B33580" w:rsidRPr="006D21D6">
        <w:rPr>
          <w:rFonts w:cs="Times New Roman"/>
        </w:rPr>
        <w:t xml:space="preserve"> </w:t>
      </w:r>
      <w:r w:rsidR="0048734D" w:rsidRPr="006D21D6">
        <w:rPr>
          <w:rFonts w:cs="Times New Roman"/>
        </w:rPr>
        <w:t>des</w:t>
      </w:r>
      <w:r w:rsidR="00B33580" w:rsidRPr="006D21D6">
        <w:rPr>
          <w:rFonts w:cs="Times New Roman"/>
        </w:rPr>
        <w:t xml:space="preserve"> résultats de recherche vers la décision</w:t>
      </w:r>
      <w:r w:rsidR="00315CDF" w:rsidRPr="006D21D6">
        <w:rPr>
          <w:rFonts w:cs="Times New Roman"/>
        </w:rPr>
        <w:t xml:space="preserve"> et l’action</w:t>
      </w:r>
      <w:r w:rsidR="00B33580" w:rsidRPr="006D21D6">
        <w:rPr>
          <w:rFonts w:cs="Times New Roman"/>
        </w:rPr>
        <w:t xml:space="preserve"> publique.</w:t>
      </w:r>
    </w:p>
    <w:p w14:paraId="705D073F" w14:textId="54D77614" w:rsidR="00B3072A" w:rsidRPr="003E3785" w:rsidRDefault="00B3072A" w:rsidP="00944BCB">
      <w:pPr>
        <w:tabs>
          <w:tab w:val="left" w:pos="0"/>
        </w:tabs>
        <w:spacing w:before="120" w:after="120"/>
        <w:rPr>
          <w:rFonts w:cs="Times New Roman"/>
          <w:sz w:val="24"/>
          <w:szCs w:val="24"/>
        </w:rPr>
      </w:pPr>
      <w:r w:rsidRPr="006D21D6">
        <w:rPr>
          <w:rFonts w:cs="Times New Roman"/>
        </w:rPr>
        <w:tab/>
      </w:r>
      <w:r w:rsidR="004F0268" w:rsidRPr="006D21D6">
        <w:rPr>
          <w:rFonts w:cs="Times New Roman"/>
          <w:u w:val="single"/>
        </w:rPr>
        <w:t xml:space="preserve">L’appel à projets s’adresse aux chercheurs </w:t>
      </w:r>
      <w:r w:rsidR="00367C76" w:rsidRPr="006D21D6">
        <w:rPr>
          <w:rFonts w:cs="Times New Roman"/>
          <w:u w:val="single"/>
        </w:rPr>
        <w:t xml:space="preserve">de </w:t>
      </w:r>
      <w:r w:rsidR="0048734D" w:rsidRPr="006D21D6">
        <w:rPr>
          <w:rFonts w:cs="Times New Roman"/>
          <w:u w:val="single"/>
        </w:rPr>
        <w:t>toutes</w:t>
      </w:r>
      <w:r w:rsidR="004F0268" w:rsidRPr="006D21D6">
        <w:rPr>
          <w:rFonts w:cs="Times New Roman"/>
          <w:u w:val="single"/>
        </w:rPr>
        <w:t xml:space="preserve"> </w:t>
      </w:r>
      <w:r w:rsidR="0048734D" w:rsidRPr="006D21D6">
        <w:rPr>
          <w:rFonts w:cs="Times New Roman"/>
          <w:u w:val="single"/>
        </w:rPr>
        <w:t>l</w:t>
      </w:r>
      <w:r w:rsidR="004F0268" w:rsidRPr="006D21D6">
        <w:rPr>
          <w:rFonts w:cs="Times New Roman"/>
          <w:u w:val="single"/>
        </w:rPr>
        <w:t>es disciplines de scie</w:t>
      </w:r>
      <w:r w:rsidR="00C80D16" w:rsidRPr="006D21D6">
        <w:rPr>
          <w:rFonts w:cs="Times New Roman"/>
          <w:u w:val="single"/>
        </w:rPr>
        <w:t>nces humaines et sociales (SHS</w:t>
      </w:r>
      <w:r w:rsidR="00C80D16" w:rsidRPr="006D21D6">
        <w:rPr>
          <w:rFonts w:cs="Times New Roman"/>
        </w:rPr>
        <w:t>) </w:t>
      </w:r>
      <w:r w:rsidR="000A6790" w:rsidRPr="006D21D6">
        <w:rPr>
          <w:rFonts w:cs="Times New Roman"/>
        </w:rPr>
        <w:t>(</w:t>
      </w:r>
      <w:r w:rsidR="00C80D16" w:rsidRPr="006D21D6">
        <w:rPr>
          <w:rFonts w:cs="Times New Roman"/>
        </w:rPr>
        <w:t>droit, économie, sociologie</w:t>
      </w:r>
      <w:r w:rsidR="00C80D16" w:rsidRPr="00B3072A">
        <w:rPr>
          <w:rFonts w:cs="Times New Roman"/>
        </w:rPr>
        <w:t>, psychologie, géographie, démographie, science politique, histoire, anthropologie,</w:t>
      </w:r>
      <w:r w:rsidR="006E19A0" w:rsidRPr="00B3072A">
        <w:rPr>
          <w:rFonts w:cs="Times New Roman"/>
        </w:rPr>
        <w:t xml:space="preserve"> sciences de l’éducation,</w:t>
      </w:r>
      <w:r w:rsidR="00C80D16" w:rsidRPr="00B3072A">
        <w:rPr>
          <w:rFonts w:cs="Times New Roman"/>
        </w:rPr>
        <w:t xml:space="preserve"> etc.</w:t>
      </w:r>
      <w:r w:rsidR="000A6790" w:rsidRPr="00B3072A">
        <w:rPr>
          <w:rFonts w:cs="Times New Roman"/>
        </w:rPr>
        <w:t>) et aux</w:t>
      </w:r>
      <w:r w:rsidR="000D54EF">
        <w:rPr>
          <w:rFonts w:cs="Times New Roman"/>
        </w:rPr>
        <w:t xml:space="preserve"> éventuel</w:t>
      </w:r>
      <w:r w:rsidR="00601BC8">
        <w:rPr>
          <w:rFonts w:cs="Times New Roman"/>
        </w:rPr>
        <w:t>.le</w:t>
      </w:r>
      <w:r w:rsidR="000D54EF">
        <w:rPr>
          <w:rFonts w:cs="Times New Roman"/>
        </w:rPr>
        <w:t>s</w:t>
      </w:r>
      <w:r w:rsidR="000A6790" w:rsidRPr="00B3072A">
        <w:rPr>
          <w:rFonts w:cs="Times New Roman"/>
        </w:rPr>
        <w:t xml:space="preserve"> </w:t>
      </w:r>
      <w:r w:rsidR="000A6790" w:rsidRPr="00B3072A">
        <w:rPr>
          <w:rFonts w:cs="Times New Roman"/>
          <w:u w:val="single"/>
        </w:rPr>
        <w:t>co-chercheur</w:t>
      </w:r>
      <w:r w:rsidR="00601BC8">
        <w:rPr>
          <w:rFonts w:cs="Times New Roman"/>
          <w:u w:val="single"/>
        </w:rPr>
        <w:t>.se</w:t>
      </w:r>
      <w:r w:rsidR="000A6790" w:rsidRPr="00B3072A">
        <w:rPr>
          <w:rFonts w:cs="Times New Roman"/>
          <w:u w:val="single"/>
        </w:rPr>
        <w:t>s dans le champ d</w:t>
      </w:r>
      <w:r w:rsidR="000D54EF">
        <w:rPr>
          <w:rFonts w:cs="Times New Roman"/>
          <w:u w:val="single"/>
        </w:rPr>
        <w:t>e</w:t>
      </w:r>
      <w:r w:rsidR="000A6790" w:rsidRPr="00B3072A">
        <w:rPr>
          <w:rFonts w:cs="Times New Roman"/>
          <w:u w:val="single"/>
        </w:rPr>
        <w:t xml:space="preserve"> </w:t>
      </w:r>
      <w:r w:rsidR="000D54EF">
        <w:rPr>
          <w:rFonts w:cs="Times New Roman"/>
          <w:u w:val="single"/>
        </w:rPr>
        <w:t>la santé mentale</w:t>
      </w:r>
      <w:r w:rsidR="000A6790" w:rsidRPr="00B3072A">
        <w:rPr>
          <w:rFonts w:cs="Times New Roman"/>
        </w:rPr>
        <w:t>.</w:t>
      </w:r>
      <w:r w:rsidR="00C80D16" w:rsidRPr="00B3072A">
        <w:rPr>
          <w:rFonts w:cs="Times New Roman"/>
        </w:rPr>
        <w:t xml:space="preserve"> Les </w:t>
      </w:r>
      <w:r w:rsidR="00C80D16" w:rsidRPr="00B3072A">
        <w:rPr>
          <w:rFonts w:cs="Times New Roman"/>
          <w:u w:val="single"/>
        </w:rPr>
        <w:t>projets de recherche interdisciplinaire</w:t>
      </w:r>
      <w:r w:rsidR="00C80D16" w:rsidRPr="00B3072A">
        <w:rPr>
          <w:rFonts w:cs="Times New Roman"/>
        </w:rPr>
        <w:t xml:space="preserve"> sont </w:t>
      </w:r>
      <w:r w:rsidR="000D54EF">
        <w:rPr>
          <w:rFonts w:cs="Times New Roman"/>
        </w:rPr>
        <w:t>bienvenus</w:t>
      </w:r>
      <w:r w:rsidR="000A6790" w:rsidRPr="00B3072A">
        <w:rPr>
          <w:rFonts w:cs="Times New Roman"/>
        </w:rPr>
        <w:t xml:space="preserve"> de même que les projets de </w:t>
      </w:r>
      <w:r w:rsidR="000A6790" w:rsidRPr="00B3072A">
        <w:rPr>
          <w:rFonts w:cs="Times New Roman"/>
          <w:u w:val="single"/>
        </w:rPr>
        <w:t>recherche mixtes</w:t>
      </w:r>
      <w:r w:rsidR="000A6790" w:rsidRPr="00B3072A">
        <w:rPr>
          <w:rFonts w:cs="Times New Roman"/>
        </w:rPr>
        <w:t xml:space="preserve"> (recherche</w:t>
      </w:r>
      <w:r w:rsidR="00184A47" w:rsidRPr="00B3072A">
        <w:rPr>
          <w:rFonts w:cs="Times New Roman"/>
        </w:rPr>
        <w:t>-</w:t>
      </w:r>
      <w:r w:rsidR="000A6790" w:rsidRPr="00B3072A">
        <w:rPr>
          <w:rFonts w:cs="Times New Roman"/>
        </w:rPr>
        <w:t>action, recherche participative, etc.)</w:t>
      </w:r>
      <w:r w:rsidR="00940A75" w:rsidRPr="00B3072A">
        <w:rPr>
          <w:rFonts w:cs="Times New Roman"/>
        </w:rPr>
        <w:t>.</w:t>
      </w:r>
    </w:p>
    <w:p w14:paraId="04E89366" w14:textId="14F4DDCE" w:rsidR="00940A75" w:rsidRDefault="00940A75" w:rsidP="00944BCB">
      <w:pPr>
        <w:spacing w:line="240" w:lineRule="auto"/>
        <w:jc w:val="left"/>
        <w:rPr>
          <w:rFonts w:cs="Times New Roman"/>
          <w:b/>
          <w:bCs/>
          <w:sz w:val="24"/>
          <w:szCs w:val="24"/>
          <w:u w:val="single"/>
        </w:rPr>
      </w:pPr>
      <w:r w:rsidRPr="00EE44A2">
        <w:rPr>
          <w:rFonts w:cs="Times New Roman"/>
          <w:b/>
          <w:bCs/>
          <w:sz w:val="24"/>
          <w:szCs w:val="24"/>
          <w:u w:val="single"/>
        </w:rPr>
        <w:t>Axes de l’appel à projets</w:t>
      </w:r>
    </w:p>
    <w:p w14:paraId="3782DFED" w14:textId="2B084FB4" w:rsidR="005B10EF" w:rsidRPr="00B3072A" w:rsidRDefault="005B10EF" w:rsidP="005B10EF">
      <w:pPr>
        <w:spacing w:before="60" w:after="60"/>
        <w:rPr>
          <w:rFonts w:cs="Times New Roman"/>
        </w:rPr>
      </w:pPr>
      <w:r w:rsidRPr="00B3072A">
        <w:rPr>
          <w:rFonts w:cs="Times New Roman"/>
        </w:rPr>
        <w:t>Les recherches devront s’inscrire prioritairement dans un ou plusieurs axes proposés par l’appel à projets</w:t>
      </w:r>
      <w:r w:rsidR="000D54EF">
        <w:rPr>
          <w:rFonts w:cs="Times New Roman"/>
        </w:rPr>
        <w:t> :</w:t>
      </w:r>
    </w:p>
    <w:p w14:paraId="573889CF" w14:textId="0276020C" w:rsidR="00940A75" w:rsidRPr="006E79B5" w:rsidRDefault="00940A75" w:rsidP="00587BD4">
      <w:pPr>
        <w:pStyle w:val="Paragraphedeliste"/>
        <w:numPr>
          <w:ilvl w:val="0"/>
          <w:numId w:val="6"/>
        </w:numPr>
      </w:pPr>
      <w:r w:rsidRPr="006E79B5">
        <w:rPr>
          <w:b/>
        </w:rPr>
        <w:t>Axe 1 :</w:t>
      </w:r>
      <w:r w:rsidRPr="006E79B5">
        <w:t xml:space="preserve"> </w:t>
      </w:r>
      <w:r w:rsidR="006E79B5" w:rsidRPr="006E79B5">
        <w:t>Trajectoires biographiques, déterminants sociaux et effets des violences sur les souffrances psychiques et les conduites suicidaires</w:t>
      </w:r>
      <w:r w:rsidR="007619D8" w:rsidRPr="006E79B5">
        <w:t> ;</w:t>
      </w:r>
    </w:p>
    <w:p w14:paraId="2F0BA431" w14:textId="10916FEE" w:rsidR="00940A75" w:rsidRPr="006E79B5" w:rsidRDefault="00940A75" w:rsidP="00587BD4">
      <w:pPr>
        <w:pStyle w:val="Paragraphedeliste"/>
        <w:numPr>
          <w:ilvl w:val="0"/>
          <w:numId w:val="6"/>
        </w:numPr>
      </w:pPr>
      <w:r w:rsidRPr="006E79B5">
        <w:rPr>
          <w:b/>
        </w:rPr>
        <w:t xml:space="preserve">Axe 2 : </w:t>
      </w:r>
      <w:r w:rsidR="006E79B5" w:rsidRPr="006E79B5">
        <w:t xml:space="preserve">Institutions et cadres de socialisation </w:t>
      </w:r>
      <w:r w:rsidR="007619D8" w:rsidRPr="006E79B5">
        <w:t>;</w:t>
      </w:r>
    </w:p>
    <w:p w14:paraId="6CA6A50B" w14:textId="38E4FE3F" w:rsidR="00940A75" w:rsidRDefault="00940A75" w:rsidP="00587BD4">
      <w:pPr>
        <w:pStyle w:val="Paragraphedeliste"/>
        <w:numPr>
          <w:ilvl w:val="0"/>
          <w:numId w:val="6"/>
        </w:numPr>
      </w:pPr>
      <w:r w:rsidRPr="006E79B5">
        <w:rPr>
          <w:b/>
        </w:rPr>
        <w:t>Axe 3 :</w:t>
      </w:r>
      <w:r w:rsidRPr="006E79B5">
        <w:t xml:space="preserve"> </w:t>
      </w:r>
      <w:r w:rsidR="00F360DF" w:rsidRPr="00DD0F99">
        <w:t>Politiques et pratiques en santé mentale : la psychiatrie entre crises, réformes et avancées thérapeutiques</w:t>
      </w:r>
      <w:r w:rsidR="006E79B5">
        <w:t>.</w:t>
      </w:r>
    </w:p>
    <w:p w14:paraId="22E9DA4A" w14:textId="77777777" w:rsidR="006E79B5" w:rsidRPr="006E79B5" w:rsidRDefault="006E79B5" w:rsidP="006E79B5"/>
    <w:tbl>
      <w:tblPr>
        <w:tblStyle w:val="Grilledutableau"/>
        <w:tblW w:w="0" w:type="auto"/>
        <w:tblLook w:val="04A0" w:firstRow="1" w:lastRow="0" w:firstColumn="1" w:lastColumn="0" w:noHBand="0" w:noVBand="1"/>
      </w:tblPr>
      <w:tblGrid>
        <w:gridCol w:w="9062"/>
      </w:tblGrid>
      <w:tr w:rsidR="001A0989" w:rsidRPr="003E3785" w14:paraId="2A003653" w14:textId="77777777" w:rsidTr="00DA1DFB">
        <w:tc>
          <w:tcPr>
            <w:tcW w:w="9062" w:type="dxa"/>
          </w:tcPr>
          <w:p w14:paraId="38C99FB2" w14:textId="77777777" w:rsidR="001A0989" w:rsidRPr="001A0989" w:rsidRDefault="001A0989" w:rsidP="00DA1DFB">
            <w:pPr>
              <w:jc w:val="center"/>
            </w:pPr>
            <w:r w:rsidRPr="001A0989">
              <w:t xml:space="preserve">Renseignements administratifs et scientifiques auprès de : </w:t>
            </w:r>
            <w:hyperlink r:id="rId12" w:history="1">
              <w:r w:rsidRPr="001A0989">
                <w:rPr>
                  <w:rStyle w:val="Lienhypertexte"/>
                </w:rPr>
                <w:t>drees-mire@sante.gouv.fr</w:t>
              </w:r>
            </w:hyperlink>
          </w:p>
        </w:tc>
      </w:tr>
    </w:tbl>
    <w:p w14:paraId="1E05BF5A" w14:textId="5C536C32" w:rsidR="00604124" w:rsidRPr="007A6BBA" w:rsidRDefault="00CE32BC" w:rsidP="005B10EF">
      <w:pPr>
        <w:pStyle w:val="TitreTR"/>
        <w:jc w:val="center"/>
        <w:rPr>
          <w:rFonts w:cs="Times New Roman"/>
          <w:sz w:val="40"/>
          <w:szCs w:val="40"/>
        </w:rPr>
      </w:pPr>
      <w:r w:rsidRPr="007A6BBA">
        <w:rPr>
          <w:rFonts w:cs="Times New Roman"/>
          <w:sz w:val="40"/>
          <w:szCs w:val="40"/>
        </w:rPr>
        <w:lastRenderedPageBreak/>
        <w:t>Sommaire</w:t>
      </w:r>
    </w:p>
    <w:p w14:paraId="4F4FDA91" w14:textId="005F8C48" w:rsidR="00A6308B" w:rsidRDefault="009F6072">
      <w:pPr>
        <w:pStyle w:val="TM1"/>
        <w:tabs>
          <w:tab w:val="right" w:leader="dot" w:pos="9062"/>
        </w:tabs>
        <w:rPr>
          <w:rFonts w:asciiTheme="minorHAnsi" w:eastAsiaTheme="minorEastAsia" w:hAnsiTheme="minorHAnsi" w:cstheme="minorBidi"/>
          <w:b w:val="0"/>
          <w:noProof/>
          <w:kern w:val="2"/>
          <w:sz w:val="24"/>
          <w:szCs w:val="24"/>
          <w:lang w:bidi="ar-SA"/>
          <w14:ligatures w14:val="standardContextual"/>
        </w:rPr>
      </w:pPr>
      <w:r w:rsidRPr="003E3785">
        <w:rPr>
          <w:rFonts w:ascii="Calibri" w:hAnsi="Calibri"/>
          <w:bCs/>
        </w:rPr>
        <w:fldChar w:fldCharType="begin"/>
      </w:r>
      <w:r w:rsidR="004F0268" w:rsidRPr="003E3785">
        <w:rPr>
          <w:rStyle w:val="Sautdindex"/>
          <w:rFonts w:cs="Times New Roman"/>
        </w:rPr>
        <w:instrText>TOC \o "1-2" \h</w:instrText>
      </w:r>
      <w:r w:rsidRPr="003E3785">
        <w:rPr>
          <w:rStyle w:val="Sautdindex"/>
          <w:rFonts w:cs="Times New Roman"/>
          <w:b w:val="0"/>
          <w:bCs/>
        </w:rPr>
        <w:fldChar w:fldCharType="separate"/>
      </w:r>
      <w:hyperlink w:anchor="_Toc238221278" w:history="1">
        <w:r w:rsidR="00A6308B" w:rsidRPr="006A1F30">
          <w:rPr>
            <w:rStyle w:val="Lienhypertexte"/>
            <w:noProof/>
          </w:rPr>
          <w:t>Structuration de l’appel à projets</w:t>
        </w:r>
        <w:r w:rsidR="00A6308B">
          <w:rPr>
            <w:noProof/>
          </w:rPr>
          <w:tab/>
        </w:r>
        <w:r w:rsidR="00A6308B">
          <w:rPr>
            <w:noProof/>
          </w:rPr>
          <w:fldChar w:fldCharType="begin"/>
        </w:r>
        <w:r w:rsidR="00A6308B">
          <w:rPr>
            <w:noProof/>
          </w:rPr>
          <w:instrText xml:space="preserve"> PAGEREF _Toc238221278 \h </w:instrText>
        </w:r>
        <w:r w:rsidR="00A6308B">
          <w:rPr>
            <w:noProof/>
          </w:rPr>
        </w:r>
        <w:r w:rsidR="00A6308B">
          <w:rPr>
            <w:noProof/>
          </w:rPr>
          <w:fldChar w:fldCharType="separate"/>
        </w:r>
        <w:r w:rsidR="00A6308B">
          <w:rPr>
            <w:noProof/>
          </w:rPr>
          <w:t>4</w:t>
        </w:r>
        <w:r w:rsidR="00A6308B">
          <w:rPr>
            <w:noProof/>
          </w:rPr>
          <w:fldChar w:fldCharType="end"/>
        </w:r>
      </w:hyperlink>
    </w:p>
    <w:p w14:paraId="4580CBD6" w14:textId="3993A267"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79" w:history="1">
        <w:r w:rsidRPr="006A1F30">
          <w:rPr>
            <w:rStyle w:val="Lienhypertexte"/>
            <w:noProof/>
          </w:rPr>
          <w:t>Méthodologie des projets et protocole de recherche</w:t>
        </w:r>
        <w:r>
          <w:rPr>
            <w:noProof/>
          </w:rPr>
          <w:tab/>
        </w:r>
        <w:r>
          <w:rPr>
            <w:noProof/>
          </w:rPr>
          <w:fldChar w:fldCharType="begin"/>
        </w:r>
        <w:r>
          <w:rPr>
            <w:noProof/>
          </w:rPr>
          <w:instrText xml:space="preserve"> PAGEREF _Toc238221279 \h </w:instrText>
        </w:r>
        <w:r>
          <w:rPr>
            <w:noProof/>
          </w:rPr>
        </w:r>
        <w:r>
          <w:rPr>
            <w:noProof/>
          </w:rPr>
          <w:fldChar w:fldCharType="separate"/>
        </w:r>
        <w:r>
          <w:rPr>
            <w:noProof/>
          </w:rPr>
          <w:t>4</w:t>
        </w:r>
        <w:r>
          <w:rPr>
            <w:noProof/>
          </w:rPr>
          <w:fldChar w:fldCharType="end"/>
        </w:r>
      </w:hyperlink>
    </w:p>
    <w:p w14:paraId="79189E71" w14:textId="396F645F"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0" w:history="1">
        <w:r w:rsidRPr="006A1F30">
          <w:rPr>
            <w:rStyle w:val="Lienhypertexte"/>
            <w:noProof/>
          </w:rPr>
          <w:t>Critères d’éligibilité et de priorisation des projets</w:t>
        </w:r>
        <w:r>
          <w:rPr>
            <w:noProof/>
          </w:rPr>
          <w:tab/>
        </w:r>
        <w:r>
          <w:rPr>
            <w:noProof/>
          </w:rPr>
          <w:fldChar w:fldCharType="begin"/>
        </w:r>
        <w:r>
          <w:rPr>
            <w:noProof/>
          </w:rPr>
          <w:instrText xml:space="preserve"> PAGEREF _Toc238221280 \h </w:instrText>
        </w:r>
        <w:r>
          <w:rPr>
            <w:noProof/>
          </w:rPr>
        </w:r>
        <w:r>
          <w:rPr>
            <w:noProof/>
          </w:rPr>
          <w:fldChar w:fldCharType="separate"/>
        </w:r>
        <w:r>
          <w:rPr>
            <w:noProof/>
          </w:rPr>
          <w:t>4</w:t>
        </w:r>
        <w:r>
          <w:rPr>
            <w:noProof/>
          </w:rPr>
          <w:fldChar w:fldCharType="end"/>
        </w:r>
      </w:hyperlink>
    </w:p>
    <w:p w14:paraId="40833CC0" w14:textId="6B2B489B"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1" w:history="1">
        <w:r w:rsidRPr="006A1F30">
          <w:rPr>
            <w:rStyle w:val="Lienhypertexte"/>
            <w:noProof/>
          </w:rPr>
          <w:t>Critères d’exclusion des projets</w:t>
        </w:r>
        <w:r>
          <w:rPr>
            <w:noProof/>
          </w:rPr>
          <w:tab/>
        </w:r>
        <w:r>
          <w:rPr>
            <w:noProof/>
          </w:rPr>
          <w:fldChar w:fldCharType="begin"/>
        </w:r>
        <w:r>
          <w:rPr>
            <w:noProof/>
          </w:rPr>
          <w:instrText xml:space="preserve"> PAGEREF _Toc238221281 \h </w:instrText>
        </w:r>
        <w:r>
          <w:rPr>
            <w:noProof/>
          </w:rPr>
        </w:r>
        <w:r>
          <w:rPr>
            <w:noProof/>
          </w:rPr>
          <w:fldChar w:fldCharType="separate"/>
        </w:r>
        <w:r>
          <w:rPr>
            <w:noProof/>
          </w:rPr>
          <w:t>5</w:t>
        </w:r>
        <w:r>
          <w:rPr>
            <w:noProof/>
          </w:rPr>
          <w:fldChar w:fldCharType="end"/>
        </w:r>
      </w:hyperlink>
    </w:p>
    <w:p w14:paraId="05BE7A94" w14:textId="26687724"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2" w:history="1">
        <w:r w:rsidRPr="006A1F30">
          <w:rPr>
            <w:rStyle w:val="Lienhypertexte"/>
            <w:noProof/>
          </w:rPr>
          <w:t>Financements et conseil scientifique de sélection des projets</w:t>
        </w:r>
        <w:r>
          <w:rPr>
            <w:noProof/>
          </w:rPr>
          <w:tab/>
        </w:r>
        <w:r>
          <w:rPr>
            <w:noProof/>
          </w:rPr>
          <w:fldChar w:fldCharType="begin"/>
        </w:r>
        <w:r>
          <w:rPr>
            <w:noProof/>
          </w:rPr>
          <w:instrText xml:space="preserve"> PAGEREF _Toc238221282 \h </w:instrText>
        </w:r>
        <w:r>
          <w:rPr>
            <w:noProof/>
          </w:rPr>
        </w:r>
        <w:r>
          <w:rPr>
            <w:noProof/>
          </w:rPr>
          <w:fldChar w:fldCharType="separate"/>
        </w:r>
        <w:r>
          <w:rPr>
            <w:noProof/>
          </w:rPr>
          <w:t>5</w:t>
        </w:r>
        <w:r>
          <w:rPr>
            <w:noProof/>
          </w:rPr>
          <w:fldChar w:fldCharType="end"/>
        </w:r>
      </w:hyperlink>
    </w:p>
    <w:p w14:paraId="777137A9" w14:textId="32C32DA3"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3" w:history="1">
        <w:r w:rsidRPr="006A1F30">
          <w:rPr>
            <w:rStyle w:val="Lienhypertexte"/>
            <w:noProof/>
          </w:rPr>
          <w:t>Responsable scientifique du projet</w:t>
        </w:r>
        <w:r>
          <w:rPr>
            <w:noProof/>
          </w:rPr>
          <w:tab/>
        </w:r>
        <w:r>
          <w:rPr>
            <w:noProof/>
          </w:rPr>
          <w:fldChar w:fldCharType="begin"/>
        </w:r>
        <w:r>
          <w:rPr>
            <w:noProof/>
          </w:rPr>
          <w:instrText xml:space="preserve"> PAGEREF _Toc238221283 \h </w:instrText>
        </w:r>
        <w:r>
          <w:rPr>
            <w:noProof/>
          </w:rPr>
        </w:r>
        <w:r>
          <w:rPr>
            <w:noProof/>
          </w:rPr>
          <w:fldChar w:fldCharType="separate"/>
        </w:r>
        <w:r>
          <w:rPr>
            <w:noProof/>
          </w:rPr>
          <w:t>5</w:t>
        </w:r>
        <w:r>
          <w:rPr>
            <w:noProof/>
          </w:rPr>
          <w:fldChar w:fldCharType="end"/>
        </w:r>
      </w:hyperlink>
    </w:p>
    <w:p w14:paraId="4D713B91" w14:textId="03D7EA93"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4" w:history="1">
        <w:r w:rsidRPr="006A1F30">
          <w:rPr>
            <w:rStyle w:val="Lienhypertexte"/>
            <w:noProof/>
          </w:rPr>
          <w:t>Attendus et engagements des équipes</w:t>
        </w:r>
        <w:r>
          <w:rPr>
            <w:noProof/>
          </w:rPr>
          <w:tab/>
        </w:r>
        <w:r>
          <w:rPr>
            <w:noProof/>
          </w:rPr>
          <w:fldChar w:fldCharType="begin"/>
        </w:r>
        <w:r>
          <w:rPr>
            <w:noProof/>
          </w:rPr>
          <w:instrText xml:space="preserve"> PAGEREF _Toc238221284 \h </w:instrText>
        </w:r>
        <w:r>
          <w:rPr>
            <w:noProof/>
          </w:rPr>
        </w:r>
        <w:r>
          <w:rPr>
            <w:noProof/>
          </w:rPr>
          <w:fldChar w:fldCharType="separate"/>
        </w:r>
        <w:r>
          <w:rPr>
            <w:noProof/>
          </w:rPr>
          <w:t>6</w:t>
        </w:r>
        <w:r>
          <w:rPr>
            <w:noProof/>
          </w:rPr>
          <w:fldChar w:fldCharType="end"/>
        </w:r>
      </w:hyperlink>
    </w:p>
    <w:p w14:paraId="0C06F62E" w14:textId="231239FF"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5" w:history="1">
        <w:r w:rsidRPr="006A1F30">
          <w:rPr>
            <w:rStyle w:val="Lienhypertexte"/>
            <w:noProof/>
          </w:rPr>
          <w:t>Organisme responsable du projet de recherche</w:t>
        </w:r>
        <w:r>
          <w:rPr>
            <w:noProof/>
          </w:rPr>
          <w:tab/>
        </w:r>
        <w:r>
          <w:rPr>
            <w:noProof/>
          </w:rPr>
          <w:fldChar w:fldCharType="begin"/>
        </w:r>
        <w:r>
          <w:rPr>
            <w:noProof/>
          </w:rPr>
          <w:instrText xml:space="preserve"> PAGEREF _Toc238221285 \h </w:instrText>
        </w:r>
        <w:r>
          <w:rPr>
            <w:noProof/>
          </w:rPr>
        </w:r>
        <w:r>
          <w:rPr>
            <w:noProof/>
          </w:rPr>
          <w:fldChar w:fldCharType="separate"/>
        </w:r>
        <w:r>
          <w:rPr>
            <w:noProof/>
          </w:rPr>
          <w:t>6</w:t>
        </w:r>
        <w:r>
          <w:rPr>
            <w:noProof/>
          </w:rPr>
          <w:fldChar w:fldCharType="end"/>
        </w:r>
      </w:hyperlink>
    </w:p>
    <w:p w14:paraId="021F07A6" w14:textId="10EC1EFC"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6" w:history="1">
        <w:r w:rsidRPr="006A1F30">
          <w:rPr>
            <w:rStyle w:val="Lienhypertexte"/>
            <w:noProof/>
          </w:rPr>
          <w:t>Délais et modalités pratiques de réponse à l’APR</w:t>
        </w:r>
        <w:r>
          <w:rPr>
            <w:noProof/>
          </w:rPr>
          <w:tab/>
        </w:r>
        <w:r>
          <w:rPr>
            <w:noProof/>
          </w:rPr>
          <w:fldChar w:fldCharType="begin"/>
        </w:r>
        <w:r>
          <w:rPr>
            <w:noProof/>
          </w:rPr>
          <w:instrText xml:space="preserve"> PAGEREF _Toc238221286 \h </w:instrText>
        </w:r>
        <w:r>
          <w:rPr>
            <w:noProof/>
          </w:rPr>
        </w:r>
        <w:r>
          <w:rPr>
            <w:noProof/>
          </w:rPr>
          <w:fldChar w:fldCharType="separate"/>
        </w:r>
        <w:r>
          <w:rPr>
            <w:noProof/>
          </w:rPr>
          <w:t>6</w:t>
        </w:r>
        <w:r>
          <w:rPr>
            <w:noProof/>
          </w:rPr>
          <w:fldChar w:fldCharType="end"/>
        </w:r>
      </w:hyperlink>
    </w:p>
    <w:p w14:paraId="7B7522F9" w14:textId="78937578"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7" w:history="1">
        <w:r w:rsidRPr="006A1F30">
          <w:rPr>
            <w:rStyle w:val="Lienhypertexte"/>
            <w:noProof/>
          </w:rPr>
          <w:t>Procédure de sélection</w:t>
        </w:r>
        <w:r>
          <w:rPr>
            <w:noProof/>
          </w:rPr>
          <w:tab/>
        </w:r>
        <w:r>
          <w:rPr>
            <w:noProof/>
          </w:rPr>
          <w:fldChar w:fldCharType="begin"/>
        </w:r>
        <w:r>
          <w:rPr>
            <w:noProof/>
          </w:rPr>
          <w:instrText xml:space="preserve"> PAGEREF _Toc238221287 \h </w:instrText>
        </w:r>
        <w:r>
          <w:rPr>
            <w:noProof/>
          </w:rPr>
        </w:r>
        <w:r>
          <w:rPr>
            <w:noProof/>
          </w:rPr>
          <w:fldChar w:fldCharType="separate"/>
        </w:r>
        <w:r>
          <w:rPr>
            <w:noProof/>
          </w:rPr>
          <w:t>7</w:t>
        </w:r>
        <w:r>
          <w:rPr>
            <w:noProof/>
          </w:rPr>
          <w:fldChar w:fldCharType="end"/>
        </w:r>
      </w:hyperlink>
    </w:p>
    <w:p w14:paraId="57CBA916" w14:textId="602A4EA2" w:rsidR="00A6308B" w:rsidRDefault="00A6308B">
      <w:pPr>
        <w:pStyle w:val="TM1"/>
        <w:tabs>
          <w:tab w:val="right" w:leader="dot" w:pos="9062"/>
        </w:tabs>
        <w:rPr>
          <w:rFonts w:asciiTheme="minorHAnsi" w:eastAsiaTheme="minorEastAsia" w:hAnsiTheme="minorHAnsi" w:cstheme="minorBidi"/>
          <w:b w:val="0"/>
          <w:noProof/>
          <w:kern w:val="2"/>
          <w:sz w:val="24"/>
          <w:szCs w:val="24"/>
          <w:lang w:bidi="ar-SA"/>
          <w14:ligatures w14:val="standardContextual"/>
        </w:rPr>
      </w:pPr>
      <w:hyperlink w:anchor="_Toc238221288" w:history="1">
        <w:r w:rsidRPr="006A1F30">
          <w:rPr>
            <w:rStyle w:val="Lienhypertexte"/>
            <w:noProof/>
          </w:rPr>
          <w:t>Texte d’appel – « Requestionner la santé mentale : des souffrances psychiques aux conduites suicidaires »</w:t>
        </w:r>
        <w:r>
          <w:rPr>
            <w:noProof/>
          </w:rPr>
          <w:tab/>
        </w:r>
        <w:r>
          <w:rPr>
            <w:noProof/>
          </w:rPr>
          <w:fldChar w:fldCharType="begin"/>
        </w:r>
        <w:r>
          <w:rPr>
            <w:noProof/>
          </w:rPr>
          <w:instrText xml:space="preserve"> PAGEREF _Toc238221288 \h </w:instrText>
        </w:r>
        <w:r>
          <w:rPr>
            <w:noProof/>
          </w:rPr>
        </w:r>
        <w:r>
          <w:rPr>
            <w:noProof/>
          </w:rPr>
          <w:fldChar w:fldCharType="separate"/>
        </w:r>
        <w:r>
          <w:rPr>
            <w:noProof/>
          </w:rPr>
          <w:t>8</w:t>
        </w:r>
        <w:r>
          <w:rPr>
            <w:noProof/>
          </w:rPr>
          <w:fldChar w:fldCharType="end"/>
        </w:r>
      </w:hyperlink>
    </w:p>
    <w:p w14:paraId="3B22A0DC" w14:textId="6D6CE537"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89" w:history="1">
        <w:r w:rsidRPr="006A1F30">
          <w:rPr>
            <w:rStyle w:val="Lienhypertexte"/>
            <w:noProof/>
          </w:rPr>
          <w:t>Introduction</w:t>
        </w:r>
        <w:r>
          <w:rPr>
            <w:noProof/>
          </w:rPr>
          <w:tab/>
        </w:r>
        <w:r>
          <w:rPr>
            <w:noProof/>
          </w:rPr>
          <w:fldChar w:fldCharType="begin"/>
        </w:r>
        <w:r>
          <w:rPr>
            <w:noProof/>
          </w:rPr>
          <w:instrText xml:space="preserve"> PAGEREF _Toc238221289 \h </w:instrText>
        </w:r>
        <w:r>
          <w:rPr>
            <w:noProof/>
          </w:rPr>
        </w:r>
        <w:r>
          <w:rPr>
            <w:noProof/>
          </w:rPr>
          <w:fldChar w:fldCharType="separate"/>
        </w:r>
        <w:r>
          <w:rPr>
            <w:noProof/>
          </w:rPr>
          <w:t>8</w:t>
        </w:r>
        <w:r>
          <w:rPr>
            <w:noProof/>
          </w:rPr>
          <w:fldChar w:fldCharType="end"/>
        </w:r>
      </w:hyperlink>
    </w:p>
    <w:p w14:paraId="3A81F908" w14:textId="40A1F1A6"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90" w:history="1">
        <w:r w:rsidRPr="006A1F30">
          <w:rPr>
            <w:rStyle w:val="Lienhypertexte"/>
            <w:noProof/>
          </w:rPr>
          <w:t>Axe 1 – Trajectoires biographiques, déterminants sociaux et effets des violences sur les souffrances psychiques et les conduites suicidaires</w:t>
        </w:r>
        <w:r>
          <w:rPr>
            <w:noProof/>
          </w:rPr>
          <w:tab/>
        </w:r>
        <w:r>
          <w:rPr>
            <w:noProof/>
          </w:rPr>
          <w:fldChar w:fldCharType="begin"/>
        </w:r>
        <w:r>
          <w:rPr>
            <w:noProof/>
          </w:rPr>
          <w:instrText xml:space="preserve"> PAGEREF _Toc238221290 \h </w:instrText>
        </w:r>
        <w:r>
          <w:rPr>
            <w:noProof/>
          </w:rPr>
        </w:r>
        <w:r>
          <w:rPr>
            <w:noProof/>
          </w:rPr>
          <w:fldChar w:fldCharType="separate"/>
        </w:r>
        <w:r>
          <w:rPr>
            <w:noProof/>
          </w:rPr>
          <w:t>13</w:t>
        </w:r>
        <w:r>
          <w:rPr>
            <w:noProof/>
          </w:rPr>
          <w:fldChar w:fldCharType="end"/>
        </w:r>
      </w:hyperlink>
    </w:p>
    <w:p w14:paraId="273B6AF8" w14:textId="30B22E61"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91" w:history="1">
        <w:r w:rsidRPr="006A1F30">
          <w:rPr>
            <w:rStyle w:val="Lienhypertexte"/>
            <w:noProof/>
          </w:rPr>
          <w:t>Axe 2 – Institutions et cadres de socialisation</w:t>
        </w:r>
        <w:r>
          <w:rPr>
            <w:noProof/>
          </w:rPr>
          <w:tab/>
        </w:r>
        <w:r>
          <w:rPr>
            <w:noProof/>
          </w:rPr>
          <w:fldChar w:fldCharType="begin"/>
        </w:r>
        <w:r>
          <w:rPr>
            <w:noProof/>
          </w:rPr>
          <w:instrText xml:space="preserve"> PAGEREF _Toc238221291 \h </w:instrText>
        </w:r>
        <w:r>
          <w:rPr>
            <w:noProof/>
          </w:rPr>
        </w:r>
        <w:r>
          <w:rPr>
            <w:noProof/>
          </w:rPr>
          <w:fldChar w:fldCharType="separate"/>
        </w:r>
        <w:r>
          <w:rPr>
            <w:noProof/>
          </w:rPr>
          <w:t>16</w:t>
        </w:r>
        <w:r>
          <w:rPr>
            <w:noProof/>
          </w:rPr>
          <w:fldChar w:fldCharType="end"/>
        </w:r>
      </w:hyperlink>
    </w:p>
    <w:p w14:paraId="2D837560" w14:textId="1C54DFAD"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92" w:history="1">
        <w:r w:rsidRPr="006A1F30">
          <w:rPr>
            <w:rStyle w:val="Lienhypertexte"/>
            <w:noProof/>
          </w:rPr>
          <w:t>Axe 3 – Politiques et pratiques en santé mentale : la psychiatrie entre crises, réformes et avancées thérapeutiques</w:t>
        </w:r>
        <w:r>
          <w:rPr>
            <w:noProof/>
          </w:rPr>
          <w:tab/>
        </w:r>
        <w:r>
          <w:rPr>
            <w:noProof/>
          </w:rPr>
          <w:fldChar w:fldCharType="begin"/>
        </w:r>
        <w:r>
          <w:rPr>
            <w:noProof/>
          </w:rPr>
          <w:instrText xml:space="preserve"> PAGEREF _Toc238221292 \h </w:instrText>
        </w:r>
        <w:r>
          <w:rPr>
            <w:noProof/>
          </w:rPr>
        </w:r>
        <w:r>
          <w:rPr>
            <w:noProof/>
          </w:rPr>
          <w:fldChar w:fldCharType="separate"/>
        </w:r>
        <w:r>
          <w:rPr>
            <w:noProof/>
          </w:rPr>
          <w:t>20</w:t>
        </w:r>
        <w:r>
          <w:rPr>
            <w:noProof/>
          </w:rPr>
          <w:fldChar w:fldCharType="end"/>
        </w:r>
      </w:hyperlink>
    </w:p>
    <w:p w14:paraId="273AB014" w14:textId="7E4100A3" w:rsidR="00A6308B" w:rsidRDefault="00A6308B">
      <w:pPr>
        <w:pStyle w:val="TM2"/>
        <w:tabs>
          <w:tab w:val="right" w:leader="dot" w:pos="9062"/>
        </w:tabs>
        <w:rPr>
          <w:rFonts w:asciiTheme="minorHAnsi" w:eastAsiaTheme="minorEastAsia" w:hAnsiTheme="minorHAnsi" w:cstheme="minorBidi"/>
          <w:noProof/>
          <w:kern w:val="2"/>
          <w:sz w:val="24"/>
          <w:szCs w:val="24"/>
          <w:lang w:eastAsia="fr-FR"/>
          <w14:ligatures w14:val="standardContextual"/>
        </w:rPr>
      </w:pPr>
      <w:hyperlink w:anchor="_Toc238221293" w:history="1">
        <w:r w:rsidRPr="006A1F30">
          <w:rPr>
            <w:rStyle w:val="Lienhypertexte"/>
            <w:noProof/>
          </w:rPr>
          <w:t>Bibliographie</w:t>
        </w:r>
        <w:r>
          <w:rPr>
            <w:noProof/>
          </w:rPr>
          <w:tab/>
        </w:r>
        <w:r>
          <w:rPr>
            <w:noProof/>
          </w:rPr>
          <w:fldChar w:fldCharType="begin"/>
        </w:r>
        <w:r>
          <w:rPr>
            <w:noProof/>
          </w:rPr>
          <w:instrText xml:space="preserve"> PAGEREF _Toc238221293 \h </w:instrText>
        </w:r>
        <w:r>
          <w:rPr>
            <w:noProof/>
          </w:rPr>
        </w:r>
        <w:r>
          <w:rPr>
            <w:noProof/>
          </w:rPr>
          <w:fldChar w:fldCharType="separate"/>
        </w:r>
        <w:r>
          <w:rPr>
            <w:noProof/>
          </w:rPr>
          <w:t>26</w:t>
        </w:r>
        <w:r>
          <w:rPr>
            <w:noProof/>
          </w:rPr>
          <w:fldChar w:fldCharType="end"/>
        </w:r>
      </w:hyperlink>
    </w:p>
    <w:p w14:paraId="1181BEB1" w14:textId="235CBA16" w:rsidR="00A6308B" w:rsidRDefault="00A6308B">
      <w:pPr>
        <w:pStyle w:val="TM1"/>
        <w:tabs>
          <w:tab w:val="right" w:leader="dot" w:pos="9062"/>
        </w:tabs>
        <w:rPr>
          <w:rFonts w:asciiTheme="minorHAnsi" w:eastAsiaTheme="minorEastAsia" w:hAnsiTheme="minorHAnsi" w:cstheme="minorBidi"/>
          <w:b w:val="0"/>
          <w:noProof/>
          <w:kern w:val="2"/>
          <w:sz w:val="24"/>
          <w:szCs w:val="24"/>
          <w:lang w:bidi="ar-SA"/>
          <w14:ligatures w14:val="standardContextual"/>
        </w:rPr>
      </w:pPr>
      <w:hyperlink w:anchor="_Toc238221294" w:history="1">
        <w:r w:rsidRPr="006A1F30">
          <w:rPr>
            <w:rStyle w:val="Lienhypertexte"/>
            <w:noProof/>
          </w:rPr>
          <w:t>Annexe 1. Précisions sur la « recherche-action participative »</w:t>
        </w:r>
        <w:r>
          <w:rPr>
            <w:noProof/>
          </w:rPr>
          <w:tab/>
        </w:r>
        <w:r>
          <w:rPr>
            <w:noProof/>
          </w:rPr>
          <w:fldChar w:fldCharType="begin"/>
        </w:r>
        <w:r>
          <w:rPr>
            <w:noProof/>
          </w:rPr>
          <w:instrText xml:space="preserve"> PAGEREF _Toc238221294 \h </w:instrText>
        </w:r>
        <w:r>
          <w:rPr>
            <w:noProof/>
          </w:rPr>
        </w:r>
        <w:r>
          <w:rPr>
            <w:noProof/>
          </w:rPr>
          <w:fldChar w:fldCharType="separate"/>
        </w:r>
        <w:r>
          <w:rPr>
            <w:noProof/>
          </w:rPr>
          <w:t>30</w:t>
        </w:r>
        <w:r>
          <w:rPr>
            <w:noProof/>
          </w:rPr>
          <w:fldChar w:fldCharType="end"/>
        </w:r>
      </w:hyperlink>
    </w:p>
    <w:p w14:paraId="397D5475" w14:textId="5204B671" w:rsidR="00A6308B" w:rsidRDefault="00A6308B">
      <w:pPr>
        <w:pStyle w:val="TM1"/>
        <w:tabs>
          <w:tab w:val="right" w:leader="dot" w:pos="9062"/>
        </w:tabs>
        <w:rPr>
          <w:rFonts w:asciiTheme="minorHAnsi" w:eastAsiaTheme="minorEastAsia" w:hAnsiTheme="minorHAnsi" w:cstheme="minorBidi"/>
          <w:b w:val="0"/>
          <w:noProof/>
          <w:kern w:val="2"/>
          <w:sz w:val="24"/>
          <w:szCs w:val="24"/>
          <w:lang w:bidi="ar-SA"/>
          <w14:ligatures w14:val="standardContextual"/>
        </w:rPr>
      </w:pPr>
      <w:hyperlink w:anchor="_Toc238221295" w:history="1">
        <w:r w:rsidRPr="006A1F30">
          <w:rPr>
            <w:rStyle w:val="Lienhypertexte"/>
            <w:noProof/>
          </w:rPr>
          <w:t>Annexe 2. Présentation des organismes financeurs</w:t>
        </w:r>
        <w:r>
          <w:rPr>
            <w:noProof/>
          </w:rPr>
          <w:tab/>
        </w:r>
        <w:r>
          <w:rPr>
            <w:noProof/>
          </w:rPr>
          <w:fldChar w:fldCharType="begin"/>
        </w:r>
        <w:r>
          <w:rPr>
            <w:noProof/>
          </w:rPr>
          <w:instrText xml:space="preserve"> PAGEREF _Toc238221295 \h </w:instrText>
        </w:r>
        <w:r>
          <w:rPr>
            <w:noProof/>
          </w:rPr>
        </w:r>
        <w:r>
          <w:rPr>
            <w:noProof/>
          </w:rPr>
          <w:fldChar w:fldCharType="separate"/>
        </w:r>
        <w:r>
          <w:rPr>
            <w:noProof/>
          </w:rPr>
          <w:t>31</w:t>
        </w:r>
        <w:r>
          <w:rPr>
            <w:noProof/>
          </w:rPr>
          <w:fldChar w:fldCharType="end"/>
        </w:r>
      </w:hyperlink>
    </w:p>
    <w:p w14:paraId="6425AD68" w14:textId="181DE346" w:rsidR="00604124" w:rsidRPr="003E3785" w:rsidRDefault="009F6072" w:rsidP="00693BA9">
      <w:pPr>
        <w:pStyle w:val="TM2"/>
        <w:tabs>
          <w:tab w:val="right" w:leader="dot" w:pos="9072"/>
        </w:tabs>
        <w:rPr>
          <w:rFonts w:cs="Times New Roman"/>
        </w:rPr>
      </w:pPr>
      <w:r w:rsidRPr="003E3785">
        <w:rPr>
          <w:rStyle w:val="Sautdindex"/>
          <w:rFonts w:cs="Times New Roman"/>
        </w:rPr>
        <w:fldChar w:fldCharType="end"/>
      </w:r>
    </w:p>
    <w:p w14:paraId="147A495F" w14:textId="77777777" w:rsidR="00604124" w:rsidRPr="003E3785" w:rsidRDefault="004F0268" w:rsidP="008F5DE8">
      <w:pPr>
        <w:rPr>
          <w:rFonts w:eastAsia="Arial Unicode MS" w:cs="Times New Roman"/>
          <w:b/>
          <w:bCs/>
          <w:color w:val="2A6099"/>
          <w:sz w:val="36"/>
          <w:szCs w:val="36"/>
        </w:rPr>
      </w:pPr>
      <w:r w:rsidRPr="003E3785">
        <w:rPr>
          <w:rFonts w:cs="Times New Roman"/>
        </w:rPr>
        <w:br w:type="page"/>
      </w:r>
    </w:p>
    <w:p w14:paraId="325D8C24" w14:textId="2722C217" w:rsidR="00604124" w:rsidRPr="003E3785" w:rsidRDefault="0019EC91" w:rsidP="005B10EF">
      <w:pPr>
        <w:pStyle w:val="Titre1"/>
      </w:pPr>
      <w:bookmarkStart w:id="1" w:name="_Toc65766627"/>
      <w:bookmarkStart w:id="2" w:name="_Toc238221278"/>
      <w:r w:rsidRPr="003E3785">
        <w:lastRenderedPageBreak/>
        <w:t>Structuration de l’appel à projets</w:t>
      </w:r>
      <w:bookmarkEnd w:id="1"/>
      <w:bookmarkEnd w:id="2"/>
    </w:p>
    <w:p w14:paraId="24E4CFDF" w14:textId="77777777" w:rsidR="00367C76" w:rsidRPr="003E3785" w:rsidRDefault="00367C76" w:rsidP="00693BA9">
      <w:pPr>
        <w:spacing w:before="120" w:after="120"/>
        <w:rPr>
          <w:rFonts w:cs="Times New Roman"/>
        </w:rPr>
      </w:pPr>
    </w:p>
    <w:p w14:paraId="70209265" w14:textId="3EA257EE" w:rsidR="00604124" w:rsidRPr="003E3785" w:rsidRDefault="006A5890" w:rsidP="00EE44A2">
      <w:pPr>
        <w:pStyle w:val="Titre2"/>
      </w:pPr>
      <w:bookmarkStart w:id="3" w:name="_Toc238221279"/>
      <w:r w:rsidRPr="003E3785">
        <w:t>Méthodologie des projets</w:t>
      </w:r>
      <w:r w:rsidR="005233B9" w:rsidRPr="003E3785">
        <w:t xml:space="preserve"> </w:t>
      </w:r>
      <w:r w:rsidR="00D935BA">
        <w:t>et</w:t>
      </w:r>
      <w:r w:rsidR="005233B9" w:rsidRPr="003E3785">
        <w:t xml:space="preserve"> protocole de recherche</w:t>
      </w:r>
      <w:bookmarkEnd w:id="3"/>
    </w:p>
    <w:p w14:paraId="061778A4" w14:textId="60596B2D" w:rsidR="00601BC8" w:rsidRPr="00331F9C" w:rsidRDefault="005B10EF" w:rsidP="009F599B">
      <w:pPr>
        <w:tabs>
          <w:tab w:val="left" w:pos="0"/>
        </w:tabs>
        <w:spacing w:before="60" w:after="60"/>
        <w:rPr>
          <w:rFonts w:cs="Times New Roman"/>
        </w:rPr>
      </w:pPr>
      <w:r>
        <w:rPr>
          <w:rFonts w:cs="Times New Roman"/>
        </w:rPr>
        <w:tab/>
      </w:r>
      <w:r w:rsidR="003F3ABD" w:rsidRPr="00331F9C">
        <w:rPr>
          <w:rFonts w:cs="Times New Roman"/>
        </w:rPr>
        <w:t xml:space="preserve">Cet appel </w:t>
      </w:r>
      <w:r w:rsidR="00D935BA" w:rsidRPr="00331F9C">
        <w:rPr>
          <w:rFonts w:cs="Times New Roman"/>
        </w:rPr>
        <w:t xml:space="preserve">vise à financer des projets de recherche dont </w:t>
      </w:r>
      <w:r w:rsidR="00155725" w:rsidRPr="00331F9C">
        <w:rPr>
          <w:rFonts w:cs="Times New Roman"/>
        </w:rPr>
        <w:t>l’objectif</w:t>
      </w:r>
      <w:r w:rsidR="003F3ABD" w:rsidRPr="00331F9C">
        <w:rPr>
          <w:rFonts w:cs="Times New Roman"/>
        </w:rPr>
        <w:t xml:space="preserve"> </w:t>
      </w:r>
      <w:r w:rsidR="00D157DB" w:rsidRPr="00331F9C">
        <w:rPr>
          <w:rFonts w:cs="Times New Roman"/>
        </w:rPr>
        <w:t>consistera</w:t>
      </w:r>
      <w:r w:rsidR="00940A75" w:rsidRPr="00331F9C">
        <w:rPr>
          <w:rFonts w:cs="Times New Roman"/>
        </w:rPr>
        <w:t xml:space="preserve"> à </w:t>
      </w:r>
      <w:r w:rsidR="00E532D8" w:rsidRPr="00331F9C">
        <w:rPr>
          <w:rFonts w:cs="Times New Roman"/>
        </w:rPr>
        <w:t>questionner les phénomènes de dégradation de la santé mentale allant des souffrances psychiques aux conduites suicidaires. Ce faisant, il s’agira d</w:t>
      </w:r>
      <w:r w:rsidR="00E66F15" w:rsidRPr="00331F9C">
        <w:rPr>
          <w:rFonts w:cs="Times New Roman"/>
        </w:rPr>
        <w:t xml:space="preserve">’analyser </w:t>
      </w:r>
      <w:r w:rsidR="00E532D8" w:rsidRPr="00331F9C">
        <w:rPr>
          <w:rFonts w:cs="Times New Roman"/>
        </w:rPr>
        <w:t xml:space="preserve">à la fois les phénomènes imbriqués qui concourent à </w:t>
      </w:r>
      <w:r w:rsidR="00E66F15" w:rsidRPr="00331F9C">
        <w:rPr>
          <w:rFonts w:cs="Times New Roman"/>
        </w:rPr>
        <w:t>porter atteinte à</w:t>
      </w:r>
      <w:r w:rsidR="00E532D8" w:rsidRPr="00331F9C">
        <w:rPr>
          <w:rFonts w:cs="Times New Roman"/>
        </w:rPr>
        <w:t xml:space="preserve"> la santé mentale, tout autant qu’il sera question d’interroger le sens même de la santé mentale et de ses évolutions.</w:t>
      </w:r>
    </w:p>
    <w:p w14:paraId="310C6717" w14:textId="0B18C96F" w:rsidR="00F6037B" w:rsidRDefault="009F599B" w:rsidP="00F6037B">
      <w:pPr>
        <w:tabs>
          <w:tab w:val="left" w:pos="0"/>
        </w:tabs>
        <w:spacing w:before="60" w:after="60"/>
        <w:rPr>
          <w:rFonts w:cs="Times New Roman"/>
        </w:rPr>
      </w:pPr>
      <w:r>
        <w:rPr>
          <w:rFonts w:cs="Times New Roman"/>
        </w:rPr>
        <w:tab/>
      </w:r>
      <w:r w:rsidR="00155725" w:rsidRPr="00EE44A2">
        <w:rPr>
          <w:rFonts w:cs="Times New Roman"/>
        </w:rPr>
        <w:t>L</w:t>
      </w:r>
      <w:r w:rsidR="003F3ABD" w:rsidRPr="00EE44A2">
        <w:rPr>
          <w:rFonts w:cs="Times New Roman"/>
        </w:rPr>
        <w:t>es porteur</w:t>
      </w:r>
      <w:r w:rsidR="00601BC8">
        <w:rPr>
          <w:rFonts w:cs="Times New Roman"/>
        </w:rPr>
        <w:t>.se</w:t>
      </w:r>
      <w:r w:rsidR="003F3ABD" w:rsidRPr="00EE44A2">
        <w:rPr>
          <w:rFonts w:cs="Times New Roman"/>
        </w:rPr>
        <w:t>s de projet sont invité</w:t>
      </w:r>
      <w:r w:rsidR="00601BC8">
        <w:rPr>
          <w:rFonts w:cs="Times New Roman"/>
        </w:rPr>
        <w:t>.e</w:t>
      </w:r>
      <w:r w:rsidR="003F3ABD" w:rsidRPr="00EE44A2">
        <w:rPr>
          <w:rFonts w:cs="Times New Roman"/>
        </w:rPr>
        <w:t>s à mobiliser</w:t>
      </w:r>
      <w:r w:rsidR="00940A75" w:rsidRPr="00EE44A2">
        <w:rPr>
          <w:rFonts w:cs="Times New Roman"/>
        </w:rPr>
        <w:t xml:space="preserve"> la méthodologie et l’épistémologie de leur choix</w:t>
      </w:r>
      <w:r w:rsidR="00D157DB">
        <w:rPr>
          <w:rFonts w:cs="Times New Roman"/>
        </w:rPr>
        <w:t>, dans la mesure où ils s’inscrivent principalement dans le champ des sciences humaines et sociales</w:t>
      </w:r>
      <w:r w:rsidR="00940A75" w:rsidRPr="00EE44A2">
        <w:rPr>
          <w:rFonts w:cs="Times New Roman"/>
        </w:rPr>
        <w:t xml:space="preserve">. </w:t>
      </w:r>
      <w:r w:rsidR="00A15B45" w:rsidRPr="00EE44A2">
        <w:rPr>
          <w:rFonts w:cs="Times New Roman"/>
        </w:rPr>
        <w:t>Ils</w:t>
      </w:r>
      <w:r w:rsidR="00601BC8">
        <w:rPr>
          <w:rFonts w:cs="Times New Roman"/>
        </w:rPr>
        <w:t xml:space="preserve"> et elles</w:t>
      </w:r>
      <w:r w:rsidR="00940A75" w:rsidRPr="00EE44A2">
        <w:rPr>
          <w:rFonts w:cs="Times New Roman"/>
        </w:rPr>
        <w:t xml:space="preserve"> pourront ainsi déployer des méthodologies qualitatives, quantitatives</w:t>
      </w:r>
      <w:r w:rsidR="00A15B45" w:rsidRPr="00EE44A2">
        <w:rPr>
          <w:rFonts w:cs="Times New Roman"/>
        </w:rPr>
        <w:t xml:space="preserve"> ou</w:t>
      </w:r>
      <w:r w:rsidR="00940A75" w:rsidRPr="00EE44A2">
        <w:rPr>
          <w:rFonts w:cs="Times New Roman"/>
        </w:rPr>
        <w:t xml:space="preserve"> mixtes</w:t>
      </w:r>
      <w:r w:rsidR="00F6037B">
        <w:rPr>
          <w:rFonts w:cs="Times New Roman"/>
        </w:rPr>
        <w:t xml:space="preserve"> et basées sur les outils de leur choix : </w:t>
      </w:r>
      <w:r w:rsidR="00F6037B" w:rsidRPr="00F6037B">
        <w:rPr>
          <w:rFonts w:cs="Times New Roman"/>
        </w:rPr>
        <w:t>observations, entretiens, enquêtes archivistiques, analyses de textes législatifs et réglementaires, questionnaires, analyse quantitative de bases de données administratives, etc.</w:t>
      </w:r>
    </w:p>
    <w:p w14:paraId="7E12DE4F" w14:textId="7D99A0FE" w:rsidR="00F6037B" w:rsidRPr="00F6037B" w:rsidRDefault="00F6037B" w:rsidP="00F6037B">
      <w:pPr>
        <w:tabs>
          <w:tab w:val="left" w:pos="0"/>
        </w:tabs>
        <w:spacing w:before="60" w:after="60"/>
        <w:rPr>
          <w:rFonts w:cs="Times New Roman"/>
        </w:rPr>
      </w:pPr>
      <w:r>
        <w:rPr>
          <w:rFonts w:cs="Times New Roman"/>
        </w:rPr>
        <w:tab/>
        <w:t>Les recherches peuvent</w:t>
      </w:r>
      <w:r w:rsidRPr="00F6037B">
        <w:rPr>
          <w:rFonts w:cs="Times New Roman"/>
        </w:rPr>
        <w:t xml:space="preserve"> porter aussi bien sur les personnes concernées par des souffrances psychiques que sur leur entourage, ou sur leurs interactions avec les professionnel</w:t>
      </w:r>
      <w:r w:rsidR="00601BC8">
        <w:rPr>
          <w:rFonts w:cs="Times New Roman"/>
        </w:rPr>
        <w:t>.le</w:t>
      </w:r>
      <w:r w:rsidRPr="00F6037B">
        <w:rPr>
          <w:rFonts w:cs="Times New Roman"/>
        </w:rPr>
        <w:t xml:space="preserve">s du soin, de la santé mentale, du médico-social, etc. </w:t>
      </w:r>
      <w:r w:rsidR="00601BC8">
        <w:rPr>
          <w:rFonts w:cs="Times New Roman"/>
        </w:rPr>
        <w:t>Elle</w:t>
      </w:r>
      <w:r w:rsidRPr="00F6037B">
        <w:rPr>
          <w:rFonts w:cs="Times New Roman"/>
        </w:rPr>
        <w:t>s pourront également s’intéresser aux interventions mises en œuvre, en examinant leurs finalités (devenir des personnes), les processus organisationnels, les principes qui les sous-tendent</w:t>
      </w:r>
      <w:r w:rsidRPr="00F6037B" w:rsidDel="00313A75">
        <w:rPr>
          <w:rFonts w:cs="Times New Roman"/>
        </w:rPr>
        <w:t xml:space="preserve"> </w:t>
      </w:r>
      <w:r w:rsidRPr="00F6037B">
        <w:rPr>
          <w:rFonts w:cs="Times New Roman"/>
        </w:rPr>
        <w:t>(soin, accompagnement, protection, respect, autonomie des personnes, etc.), leurs modalités concrètes (ressources détenues, formes d’organisation et système d’acteurs, pratiques et protocoles d’évaluation, etc.), leur cadre juridique, la construction des politiques publiques dans laquelle elles s’inscrivent ou à laquelle elles contribuent, leurs enjeux territoriaux et géographiques, etc.</w:t>
      </w:r>
    </w:p>
    <w:p w14:paraId="5E24CD33" w14:textId="735360F9" w:rsidR="003F3ABD" w:rsidRPr="00EE44A2" w:rsidRDefault="00B3072A" w:rsidP="009F599B">
      <w:pPr>
        <w:tabs>
          <w:tab w:val="left" w:pos="0"/>
        </w:tabs>
        <w:spacing w:before="60" w:after="60"/>
        <w:rPr>
          <w:rFonts w:cs="Times New Roman"/>
        </w:rPr>
      </w:pPr>
      <w:r>
        <w:rPr>
          <w:rFonts w:cs="Times New Roman"/>
        </w:rPr>
        <w:tab/>
      </w:r>
      <w:r w:rsidR="00747ADF" w:rsidRPr="00EE44A2">
        <w:rPr>
          <w:rFonts w:cs="Times New Roman"/>
        </w:rPr>
        <w:t>I</w:t>
      </w:r>
      <w:r w:rsidR="003F3ABD" w:rsidRPr="00EE44A2">
        <w:rPr>
          <w:rFonts w:cs="Times New Roman"/>
        </w:rPr>
        <w:t>l est attendu que les projets de recherche proposent des problématiques</w:t>
      </w:r>
      <w:r w:rsidR="00E532D8">
        <w:rPr>
          <w:rFonts w:cs="Times New Roman"/>
        </w:rPr>
        <w:t xml:space="preserve"> scientifiques</w:t>
      </w:r>
      <w:r w:rsidR="003F3ABD" w:rsidRPr="00EE44A2">
        <w:rPr>
          <w:rFonts w:cs="Times New Roman"/>
        </w:rPr>
        <w:t xml:space="preserve"> </w:t>
      </w:r>
      <w:r w:rsidR="00E532D8">
        <w:rPr>
          <w:rFonts w:cs="Times New Roman"/>
        </w:rPr>
        <w:t>prenant appui sur un ou</w:t>
      </w:r>
      <w:r w:rsidR="003F3ABD" w:rsidRPr="00EE44A2">
        <w:rPr>
          <w:rFonts w:cs="Times New Roman"/>
        </w:rPr>
        <w:t xml:space="preserve"> plusieurs des axes proposés par </w:t>
      </w:r>
      <w:r w:rsidR="00E532D8">
        <w:rPr>
          <w:rFonts w:cs="Times New Roman"/>
        </w:rPr>
        <w:t>le texte d’</w:t>
      </w:r>
      <w:r w:rsidR="00E532D8" w:rsidRPr="00E66F15">
        <w:rPr>
          <w:rFonts w:cs="Times New Roman"/>
        </w:rPr>
        <w:t>appel</w:t>
      </w:r>
      <w:r w:rsidR="003F3ABD" w:rsidRPr="00E66F15">
        <w:rPr>
          <w:rFonts w:cs="Times New Roman"/>
        </w:rPr>
        <w:t>.</w:t>
      </w:r>
    </w:p>
    <w:p w14:paraId="65734B86" w14:textId="6141916B" w:rsidR="007204F8" w:rsidRDefault="00B3072A" w:rsidP="00E66F15">
      <w:pPr>
        <w:tabs>
          <w:tab w:val="left" w:pos="0"/>
        </w:tabs>
        <w:spacing w:before="60" w:after="60"/>
      </w:pPr>
      <w:r>
        <w:rPr>
          <w:rFonts w:cs="Times New Roman"/>
        </w:rPr>
        <w:tab/>
      </w:r>
      <w:r w:rsidR="00747ADF" w:rsidRPr="00EE44A2">
        <w:t>Dans un objectif de diffusion des connaissance</w:t>
      </w:r>
      <w:r w:rsidR="00EA6967" w:rsidRPr="00EE44A2">
        <w:t>s</w:t>
      </w:r>
      <w:r w:rsidR="00747ADF" w:rsidRPr="00EE44A2">
        <w:t xml:space="preserve">, les équipes de recherche </w:t>
      </w:r>
      <w:r w:rsidR="007204F8" w:rsidRPr="00EE44A2">
        <w:t xml:space="preserve">sont encouragées à proposer des modalités de valorisation des résultats du travail de recherche afin de donner davantage de visibilité et d’accessibilité aux résultats scientifiques. Un budget spécifique dédié à la valorisation pourra être intégré au projet soumis. Le travail de médiation scientifique et </w:t>
      </w:r>
      <w:r w:rsidR="002B217E" w:rsidRPr="00EE44A2">
        <w:t xml:space="preserve">celui lié à la </w:t>
      </w:r>
      <w:r w:rsidR="007204F8" w:rsidRPr="00EE44A2">
        <w:t>transférabilité des connaissances doivent être considérés comme faisant partie de la recherche.</w:t>
      </w:r>
    </w:p>
    <w:p w14:paraId="4C8B0391" w14:textId="60AFADDD" w:rsidR="00E66F15" w:rsidRDefault="00E66F15" w:rsidP="00E66F15">
      <w:pPr>
        <w:tabs>
          <w:tab w:val="left" w:pos="0"/>
        </w:tabs>
        <w:spacing w:before="60" w:after="60"/>
      </w:pPr>
      <w:r>
        <w:rPr>
          <w:rFonts w:cs="Times New Roman"/>
        </w:rPr>
        <w:tab/>
      </w:r>
      <w:r w:rsidRPr="00EE44A2">
        <w:rPr>
          <w:rFonts w:cs="Times New Roman"/>
        </w:rPr>
        <w:t xml:space="preserve">L’adoption d’une optique de comparaison internationale est </w:t>
      </w:r>
      <w:r>
        <w:rPr>
          <w:rFonts w:cs="Times New Roman"/>
        </w:rPr>
        <w:t>possible</w:t>
      </w:r>
      <w:r w:rsidRPr="00EE44A2">
        <w:rPr>
          <w:rFonts w:cs="Times New Roman"/>
        </w:rPr>
        <w:t>, notamment pour établir un regard croisé entre la France et différents pays, sur l’un ou plusieurs des axes du programme</w:t>
      </w:r>
      <w:r>
        <w:rPr>
          <w:rFonts w:cs="Times New Roman"/>
        </w:rPr>
        <w:t>.</w:t>
      </w:r>
    </w:p>
    <w:p w14:paraId="2A6C25DE" w14:textId="77777777" w:rsidR="00A02813" w:rsidRPr="00EE44A2" w:rsidRDefault="00A02813" w:rsidP="00EE44A2"/>
    <w:p w14:paraId="1AFBA5EE" w14:textId="3D56D068" w:rsidR="00604124" w:rsidRPr="003E3785" w:rsidRDefault="004F0268" w:rsidP="00EE44A2">
      <w:pPr>
        <w:pStyle w:val="Titre2"/>
      </w:pPr>
      <w:bookmarkStart w:id="4" w:name="__RefHeading___Toc1673_2313596743"/>
      <w:bookmarkStart w:id="5" w:name="_Toc65766629"/>
      <w:bookmarkStart w:id="6" w:name="_Toc238221280"/>
      <w:bookmarkEnd w:id="4"/>
      <w:r w:rsidRPr="003E3785">
        <w:t xml:space="preserve">Critères d’éligibilité </w:t>
      </w:r>
      <w:r w:rsidR="0000174F">
        <w:t xml:space="preserve">et de priorisation </w:t>
      </w:r>
      <w:r w:rsidRPr="003E3785">
        <w:t>des projets</w:t>
      </w:r>
      <w:bookmarkEnd w:id="5"/>
      <w:bookmarkEnd w:id="6"/>
    </w:p>
    <w:p w14:paraId="38990E65" w14:textId="6FB31672" w:rsidR="00E66F15" w:rsidRDefault="004F0268" w:rsidP="00F77BBF">
      <w:pPr>
        <w:pStyle w:val="Paragraphedeliste"/>
      </w:pPr>
      <w:r w:rsidRPr="00EE44A2">
        <w:t xml:space="preserve">Les projets attendus doivent </w:t>
      </w:r>
      <w:r w:rsidR="00E66F15">
        <w:t>s’ancrer prioritairement dans les</w:t>
      </w:r>
      <w:r w:rsidRPr="00EE44A2">
        <w:t xml:space="preserve"> </w:t>
      </w:r>
      <w:r w:rsidRPr="00EE44A2">
        <w:rPr>
          <w:bCs/>
          <w:u w:val="single"/>
        </w:rPr>
        <w:t>sciences humaines et sociales</w:t>
      </w:r>
      <w:r w:rsidRPr="00EE44A2">
        <w:t xml:space="preserve"> (sociologie,</w:t>
      </w:r>
      <w:r w:rsidR="00E66F15">
        <w:t xml:space="preserve"> psychologie,</w:t>
      </w:r>
      <w:r w:rsidRPr="00EE44A2">
        <w:t xml:space="preserve"> économie, démographie, science politique, </w:t>
      </w:r>
      <w:r w:rsidR="00550231" w:rsidRPr="00EE44A2">
        <w:t xml:space="preserve">anthropologie, sciences de l’éducation, </w:t>
      </w:r>
      <w:r w:rsidRPr="00EE44A2">
        <w:t>droit, histoire, sciences de gestion,</w:t>
      </w:r>
      <w:r w:rsidR="00550231" w:rsidRPr="00EE44A2">
        <w:t xml:space="preserve"> </w:t>
      </w:r>
      <w:r w:rsidRPr="00EE44A2">
        <w:t>psychologie,</w:t>
      </w:r>
      <w:r w:rsidR="00D157DB">
        <w:t xml:space="preserve"> philosophie</w:t>
      </w:r>
      <w:r w:rsidR="00131BF5">
        <w:t>,</w:t>
      </w:r>
      <w:r w:rsidRPr="00EE44A2">
        <w:t xml:space="preserve"> etc.)</w:t>
      </w:r>
      <w:r w:rsidR="00D935BA">
        <w:t> </w:t>
      </w:r>
      <w:r w:rsidR="00E66F15">
        <w:t>;</w:t>
      </w:r>
      <w:r w:rsidRPr="00EE44A2">
        <w:t xml:space="preserve"> </w:t>
      </w:r>
    </w:p>
    <w:p w14:paraId="222A713B" w14:textId="44710561" w:rsidR="00FD0914" w:rsidRDefault="004F0268" w:rsidP="00F77BBF">
      <w:pPr>
        <w:pStyle w:val="Paragraphedeliste"/>
      </w:pPr>
      <w:r w:rsidRPr="00EE44A2">
        <w:t xml:space="preserve">Les projets portés par des </w:t>
      </w:r>
      <w:r w:rsidRPr="00FD0914">
        <w:rPr>
          <w:u w:val="single"/>
        </w:rPr>
        <w:t>équipes pluridisciplinaires</w:t>
      </w:r>
      <w:r w:rsidRPr="00EE44A2">
        <w:t xml:space="preserve"> </w:t>
      </w:r>
      <w:r w:rsidR="0000174F">
        <w:t xml:space="preserve">seront </w:t>
      </w:r>
      <w:r w:rsidR="00D810DD">
        <w:t>valorisés</w:t>
      </w:r>
      <w:r w:rsidR="0024127E" w:rsidRPr="00EE44A2">
        <w:t>,</w:t>
      </w:r>
      <w:r w:rsidRPr="00EE44A2">
        <w:t xml:space="preserve"> notamment pour permettre l’exploration et l’analyse complémentaire</w:t>
      </w:r>
      <w:r w:rsidR="0000174F">
        <w:t>s</w:t>
      </w:r>
      <w:r w:rsidRPr="00EE44A2">
        <w:t xml:space="preserve"> des dimensions </w:t>
      </w:r>
      <w:r w:rsidRPr="00E66F15">
        <w:t>d’un même objet</w:t>
      </w:r>
      <w:r w:rsidR="00E66F15">
        <w:t>.</w:t>
      </w:r>
      <w:r w:rsidR="00FD0914">
        <w:t xml:space="preserve"> </w:t>
      </w:r>
      <w:r w:rsidR="00D935BA">
        <w:t>À</w:t>
      </w:r>
      <w:r w:rsidR="00FD0914">
        <w:t xml:space="preserve"> ce titre, </w:t>
      </w:r>
      <w:r w:rsidR="00D935BA">
        <w:t>l</w:t>
      </w:r>
      <w:r w:rsidR="00FD0914">
        <w:t>es</w:t>
      </w:r>
      <w:r w:rsidR="00D810DD">
        <w:t xml:space="preserve"> projets peuvent mobiliser des approches</w:t>
      </w:r>
      <w:r w:rsidR="00FD0914">
        <w:t xml:space="preserve"> médicales</w:t>
      </w:r>
      <w:r w:rsidR="00D935BA">
        <w:t xml:space="preserve"> ou paramédicales</w:t>
      </w:r>
      <w:r w:rsidR="00FD0914">
        <w:t xml:space="preserve"> (santé publique, épidémiologie, psychiatrie</w:t>
      </w:r>
      <w:r w:rsidR="00D935BA">
        <w:t>, sciences infirmières</w:t>
      </w:r>
      <w:r w:rsidR="00131BF5">
        <w:t>,</w:t>
      </w:r>
      <w:r w:rsidR="00D935BA">
        <w:t xml:space="preserve"> etc.</w:t>
      </w:r>
      <w:r w:rsidR="00FD0914">
        <w:t xml:space="preserve">), </w:t>
      </w:r>
      <w:r w:rsidR="00D810DD">
        <w:t>dans la mesure où celles-ci ne remettent pas en cause la centralité des</w:t>
      </w:r>
      <w:r w:rsidR="00FD0914">
        <w:t xml:space="preserve"> SHS </w:t>
      </w:r>
      <w:r w:rsidR="00D810DD">
        <w:t xml:space="preserve">dans la problématique et la stratégie de recherche proposée </w:t>
      </w:r>
      <w:r w:rsidR="00FD0914">
        <w:t>;</w:t>
      </w:r>
    </w:p>
    <w:p w14:paraId="7D4A4123" w14:textId="4C0AD377" w:rsidR="003241AF" w:rsidRPr="00E66F15" w:rsidRDefault="0019EC91" w:rsidP="00F77BBF">
      <w:pPr>
        <w:pStyle w:val="Paragraphedeliste"/>
      </w:pPr>
      <w:r w:rsidRPr="00E66F15">
        <w:t>Les projets relevant d’une démarche de « recherche</w:t>
      </w:r>
      <w:r w:rsidR="00D826E8" w:rsidRPr="00E66F15">
        <w:t>-action</w:t>
      </w:r>
      <w:r w:rsidR="00432E66" w:rsidRPr="00E66F15">
        <w:t xml:space="preserve"> participative </w:t>
      </w:r>
      <w:r w:rsidRPr="00E66F15">
        <w:t xml:space="preserve">» </w:t>
      </w:r>
      <w:r w:rsidR="00D935BA">
        <w:t xml:space="preserve">impliquant </w:t>
      </w:r>
      <w:r w:rsidRPr="00E66F15">
        <w:t>des chercheur</w:t>
      </w:r>
      <w:r w:rsidR="00601BC8">
        <w:t>.se</w:t>
      </w:r>
      <w:r w:rsidRPr="00E66F15">
        <w:t>s et d</w:t>
      </w:r>
      <w:r w:rsidR="00D935BA">
        <w:t>’autres types de</w:t>
      </w:r>
      <w:r w:rsidRPr="00E66F15">
        <w:t xml:space="preserve"> parties prenantes </w:t>
      </w:r>
      <w:r w:rsidR="001E7229" w:rsidRPr="00E66F15">
        <w:t>(associations, professionnel</w:t>
      </w:r>
      <w:r w:rsidR="00601BC8">
        <w:t>.le</w:t>
      </w:r>
      <w:r w:rsidR="001E7229" w:rsidRPr="00E66F15">
        <w:t xml:space="preserve">s de santé et du </w:t>
      </w:r>
      <w:r w:rsidR="00E532D8" w:rsidRPr="00E66F15">
        <w:t>médico-</w:t>
      </w:r>
      <w:r w:rsidR="001E7229" w:rsidRPr="00E66F15">
        <w:t xml:space="preserve">social, </w:t>
      </w:r>
      <w:r w:rsidR="00D935BA">
        <w:t>personnes concernées</w:t>
      </w:r>
      <w:r w:rsidR="00E532D8" w:rsidRPr="00E66F15">
        <w:t>, pair-aidant</w:t>
      </w:r>
      <w:r w:rsidR="00601BC8">
        <w:t>.e</w:t>
      </w:r>
      <w:r w:rsidR="00E532D8" w:rsidRPr="00E66F15">
        <w:t>s</w:t>
      </w:r>
      <w:r w:rsidR="001E7229" w:rsidRPr="00E66F15">
        <w:t xml:space="preserve">, </w:t>
      </w:r>
      <w:r w:rsidR="00D935BA">
        <w:t xml:space="preserve">familles, </w:t>
      </w:r>
      <w:r w:rsidR="001E7229" w:rsidRPr="00E66F15">
        <w:t>etc.)</w:t>
      </w:r>
      <w:r w:rsidR="0024127E" w:rsidRPr="00E66F15">
        <w:t xml:space="preserve"> sont </w:t>
      </w:r>
      <w:r w:rsidR="00D935BA">
        <w:t xml:space="preserve">encouragés, sans être </w:t>
      </w:r>
      <w:r w:rsidR="00747ADF" w:rsidRPr="00E66F15">
        <w:lastRenderedPageBreak/>
        <w:t>obligatoires</w:t>
      </w:r>
      <w:r w:rsidRPr="00E66F15">
        <w:t>. La recherche</w:t>
      </w:r>
      <w:r w:rsidR="00493B22" w:rsidRPr="00E66F15">
        <w:t xml:space="preserve">-action </w:t>
      </w:r>
      <w:r w:rsidRPr="00E66F15">
        <w:t>reste pilotée par les chercheur</w:t>
      </w:r>
      <w:r w:rsidR="00601BC8">
        <w:t>.se</w:t>
      </w:r>
      <w:r w:rsidRPr="00E66F15">
        <w:t xml:space="preserve">s et se construit </w:t>
      </w:r>
      <w:r w:rsidR="00D810DD">
        <w:t>dans le cadre d’un</w:t>
      </w:r>
      <w:r w:rsidRPr="00E66F15">
        <w:t xml:space="preserve"> projet scientifique</w:t>
      </w:r>
      <w:r w:rsidR="00D810DD">
        <w:t xml:space="preserve"> préétabli</w:t>
      </w:r>
      <w:r w:rsidR="00482906" w:rsidRPr="00E66F15">
        <w:t xml:space="preserve"> (v</w:t>
      </w:r>
      <w:r w:rsidRPr="00E66F15">
        <w:t xml:space="preserve">oir </w:t>
      </w:r>
      <w:r w:rsidR="005B10EF" w:rsidRPr="00E66F15">
        <w:t>a</w:t>
      </w:r>
      <w:r w:rsidR="00432E66" w:rsidRPr="00E66F15">
        <w:t>nnexe</w:t>
      </w:r>
      <w:r w:rsidR="00E66F15">
        <w:t> </w:t>
      </w:r>
      <w:r w:rsidR="005B10EF" w:rsidRPr="00E66F15">
        <w:t>1</w:t>
      </w:r>
      <w:r w:rsidR="00482906" w:rsidRPr="00E66F15">
        <w:t>)</w:t>
      </w:r>
      <w:r w:rsidRPr="00E66F15">
        <w:t> ;</w:t>
      </w:r>
    </w:p>
    <w:p w14:paraId="6A1A8B09" w14:textId="404CB5A5" w:rsidR="00604124" w:rsidRDefault="004F0268" w:rsidP="00587BD4">
      <w:pPr>
        <w:pStyle w:val="Paragraphedeliste"/>
        <w:numPr>
          <w:ilvl w:val="0"/>
          <w:numId w:val="3"/>
        </w:numPr>
      </w:pPr>
      <w:r w:rsidRPr="00EE44A2">
        <w:t>L’articulation entre la problématique posée par les candidats et les axes énoncés au début de cet appel à recherche</w:t>
      </w:r>
      <w:r w:rsidR="0024127E" w:rsidRPr="00EE44A2">
        <w:t>s</w:t>
      </w:r>
      <w:r w:rsidRPr="00EE44A2">
        <w:t xml:space="preserve"> doit être explicitement </w:t>
      </w:r>
      <w:r w:rsidR="00D810DD">
        <w:t>exposée</w:t>
      </w:r>
      <w:r w:rsidR="00D810DD" w:rsidRPr="00EE44A2">
        <w:t> </w:t>
      </w:r>
      <w:r w:rsidRPr="00EE44A2">
        <w:t>;</w:t>
      </w:r>
    </w:p>
    <w:p w14:paraId="056DCCA5" w14:textId="30E0C895" w:rsidR="00291005" w:rsidRDefault="58057F7A" w:rsidP="00587BD4">
      <w:pPr>
        <w:pStyle w:val="Paragraphedeliste"/>
        <w:numPr>
          <w:ilvl w:val="0"/>
          <w:numId w:val="3"/>
        </w:numPr>
      </w:pPr>
      <w:r w:rsidRPr="00EE44A2">
        <w:t>Le projet devra être mené</w:t>
      </w:r>
      <w:r w:rsidR="00F0295C" w:rsidRPr="00EE44A2">
        <w:t xml:space="preserve"> </w:t>
      </w:r>
      <w:r w:rsidRPr="00EE44A2">
        <w:t xml:space="preserve">sur une durée maximale </w:t>
      </w:r>
      <w:r w:rsidRPr="00E66F15">
        <w:t xml:space="preserve">de </w:t>
      </w:r>
      <w:r w:rsidRPr="00E66F15">
        <w:rPr>
          <w:b/>
          <w:bCs/>
          <w:u w:val="single"/>
        </w:rPr>
        <w:t>24 mois</w:t>
      </w:r>
      <w:r w:rsidRPr="00E66F15">
        <w:t xml:space="preserve"> à compter</w:t>
      </w:r>
      <w:r w:rsidRPr="00EE44A2">
        <w:t xml:space="preserve"> de la notification de la convention. Les candidat</w:t>
      </w:r>
      <w:r w:rsidR="007349C7">
        <w:t>.e</w:t>
      </w:r>
      <w:r w:rsidRPr="00EE44A2">
        <w:t>s présenteront un calendrier de recherche compatible avec cette durée. Le projet devra, le cas échéant, indiquer les délais prévisionnels pour les formalités relatives à l’obtention de données ou d’autorisations nécessaires à la réalisation de la recherche (ou, a contrario, préciser si les obtentions sont déjà acquises).</w:t>
      </w:r>
    </w:p>
    <w:p w14:paraId="149B40D6" w14:textId="77777777" w:rsidR="009F599B" w:rsidRPr="009F599B" w:rsidRDefault="009F599B" w:rsidP="009F599B">
      <w:pPr>
        <w:spacing w:before="120" w:after="120"/>
        <w:rPr>
          <w:rFonts w:cs="Times New Roman"/>
        </w:rPr>
      </w:pPr>
    </w:p>
    <w:p w14:paraId="2C3B148E" w14:textId="38C78C18" w:rsidR="00604124" w:rsidRPr="003E3785" w:rsidRDefault="004F0268" w:rsidP="00EE44A2">
      <w:pPr>
        <w:pStyle w:val="Titre2"/>
      </w:pPr>
      <w:bookmarkStart w:id="7" w:name="_Toc65766630"/>
      <w:bookmarkStart w:id="8" w:name="_Toc238221281"/>
      <w:r w:rsidRPr="003E3785">
        <w:t>Critères d’exclusion des projets</w:t>
      </w:r>
      <w:bookmarkEnd w:id="7"/>
      <w:bookmarkEnd w:id="8"/>
    </w:p>
    <w:p w14:paraId="71904E6B" w14:textId="77777777" w:rsidR="00604124" w:rsidRPr="0099670F" w:rsidRDefault="004F0268" w:rsidP="00587BD4">
      <w:pPr>
        <w:pStyle w:val="Paragraphedeliste"/>
        <w:numPr>
          <w:ilvl w:val="0"/>
          <w:numId w:val="8"/>
        </w:numPr>
      </w:pPr>
      <w:r w:rsidRPr="0099670F">
        <w:t>Les projets ne répondant pas aux critères ci-dessus ;</w:t>
      </w:r>
    </w:p>
    <w:p w14:paraId="1DB11A75" w14:textId="2F820D3B" w:rsidR="00337923" w:rsidRPr="0099670F" w:rsidRDefault="00337923" w:rsidP="00587BD4">
      <w:pPr>
        <w:pStyle w:val="Paragraphedeliste"/>
        <w:numPr>
          <w:ilvl w:val="0"/>
          <w:numId w:val="8"/>
        </w:numPr>
      </w:pPr>
      <w:r w:rsidRPr="0099670F">
        <w:t>Les projets arrivés hors</w:t>
      </w:r>
      <w:r w:rsidR="00251886" w:rsidRPr="0099670F">
        <w:t xml:space="preserve"> </w:t>
      </w:r>
      <w:r w:rsidRPr="0099670F">
        <w:t>délais ;</w:t>
      </w:r>
    </w:p>
    <w:p w14:paraId="3640DD5D" w14:textId="0E575006" w:rsidR="00337923" w:rsidRPr="0099670F" w:rsidRDefault="00337923" w:rsidP="007349C7">
      <w:pPr>
        <w:pStyle w:val="Paragraphedeliste"/>
        <w:numPr>
          <w:ilvl w:val="0"/>
          <w:numId w:val="8"/>
        </w:numPr>
      </w:pPr>
      <w:r w:rsidRPr="0099670F">
        <w:t xml:space="preserve">Les projets </w:t>
      </w:r>
      <w:r w:rsidR="003557B1">
        <w:t>présentant un dossier</w:t>
      </w:r>
      <w:r w:rsidRPr="0099670F">
        <w:t xml:space="preserve"> incomplet ;</w:t>
      </w:r>
      <w:r w:rsidR="007349C7">
        <w:t xml:space="preserve"> </w:t>
      </w:r>
    </w:p>
    <w:p w14:paraId="28C8A821" w14:textId="77777777" w:rsidR="00E910F7" w:rsidRDefault="34115BE5" w:rsidP="00587BD4">
      <w:pPr>
        <w:pStyle w:val="Paragraphedeliste"/>
        <w:numPr>
          <w:ilvl w:val="0"/>
          <w:numId w:val="8"/>
        </w:numPr>
      </w:pPr>
      <w:r w:rsidRPr="0099670F">
        <w:t>Les projets où la composante en SHS serait absente ou secondaire</w:t>
      </w:r>
      <w:bookmarkStart w:id="9" w:name="__RefHeading___Toc1677_2313596743"/>
      <w:bookmarkStart w:id="10" w:name="_Toc65766631"/>
      <w:bookmarkEnd w:id="9"/>
      <w:r w:rsidR="00E910F7">
        <w:t> ;</w:t>
      </w:r>
    </w:p>
    <w:p w14:paraId="156BDCCE" w14:textId="5D1A645A" w:rsidR="004F6890" w:rsidRDefault="00E910F7" w:rsidP="00587BD4">
      <w:pPr>
        <w:pStyle w:val="Paragraphedeliste"/>
        <w:numPr>
          <w:ilvl w:val="0"/>
          <w:numId w:val="8"/>
        </w:numPr>
      </w:pPr>
      <w:r>
        <w:t>Les projets dont le Responsable scientifique ou l’institution porteuse ne correspond pas aux conditions énoncées ci-dessous.</w:t>
      </w:r>
    </w:p>
    <w:p w14:paraId="1FC47F14" w14:textId="77777777" w:rsidR="0099670F" w:rsidRPr="00633F2E" w:rsidRDefault="0099670F" w:rsidP="00633F2E">
      <w:pPr>
        <w:spacing w:before="240"/>
        <w:rPr>
          <w:rFonts w:cs="Times New Roman"/>
          <w:sz w:val="24"/>
          <w:szCs w:val="24"/>
        </w:rPr>
      </w:pPr>
    </w:p>
    <w:p w14:paraId="547A4B2D" w14:textId="6163E97C" w:rsidR="00604124" w:rsidRPr="003E3785" w:rsidRDefault="0019EC91" w:rsidP="00EE44A2">
      <w:pPr>
        <w:pStyle w:val="Titre2"/>
      </w:pPr>
      <w:bookmarkStart w:id="11" w:name="_Toc238221282"/>
      <w:r w:rsidRPr="003E3785">
        <w:t>Financements et conseil scientifique</w:t>
      </w:r>
      <w:bookmarkEnd w:id="10"/>
      <w:r w:rsidR="00CB02F0" w:rsidRPr="003E3785">
        <w:t xml:space="preserve"> de sélection des projets</w:t>
      </w:r>
      <w:bookmarkEnd w:id="11"/>
    </w:p>
    <w:p w14:paraId="72A2F2E8" w14:textId="529A8BDF" w:rsidR="00604124" w:rsidRPr="006D21D6" w:rsidRDefault="004F0268" w:rsidP="008F5DE8">
      <w:pPr>
        <w:spacing w:before="240"/>
        <w:rPr>
          <w:rFonts w:cs="Times New Roman"/>
        </w:rPr>
      </w:pPr>
      <w:r w:rsidRPr="0099670F">
        <w:rPr>
          <w:rFonts w:cs="Times New Roman"/>
        </w:rPr>
        <w:t xml:space="preserve">Cet appel à projets de recherche est financé par </w:t>
      </w:r>
      <w:r w:rsidRPr="006D21D6">
        <w:rPr>
          <w:rFonts w:cs="Times New Roman"/>
        </w:rPr>
        <w:t xml:space="preserve">la </w:t>
      </w:r>
      <w:r w:rsidR="006A193D" w:rsidRPr="006D21D6">
        <w:rPr>
          <w:rFonts w:cs="Times New Roman"/>
        </w:rPr>
        <w:t>Drees</w:t>
      </w:r>
      <w:r w:rsidR="00FC59F7">
        <w:rPr>
          <w:rFonts w:cs="Times New Roman"/>
        </w:rPr>
        <w:t>,</w:t>
      </w:r>
      <w:r w:rsidR="003557B1" w:rsidRPr="006D21D6">
        <w:rPr>
          <w:rFonts w:cs="Times New Roman"/>
        </w:rPr>
        <w:t xml:space="preserve"> </w:t>
      </w:r>
      <w:r w:rsidR="00D810DD" w:rsidRPr="006D21D6">
        <w:rPr>
          <w:rFonts w:cs="Times New Roman"/>
        </w:rPr>
        <w:t>l’ONS</w:t>
      </w:r>
      <w:r w:rsidR="00FC59F7">
        <w:rPr>
          <w:rFonts w:cs="Times New Roman"/>
        </w:rPr>
        <w:t xml:space="preserve"> et l’Injep</w:t>
      </w:r>
      <w:r w:rsidR="00435914" w:rsidRPr="006D21D6">
        <w:rPr>
          <w:rFonts w:cs="Times New Roman"/>
        </w:rPr>
        <w:t>.</w:t>
      </w:r>
    </w:p>
    <w:p w14:paraId="704DAE42" w14:textId="5FFFD826" w:rsidR="00604124" w:rsidRPr="006D21D6" w:rsidRDefault="004F0268" w:rsidP="008F5DE8">
      <w:pPr>
        <w:spacing w:before="240"/>
        <w:rPr>
          <w:rFonts w:cs="Times New Roman"/>
        </w:rPr>
      </w:pPr>
      <w:r w:rsidRPr="006D21D6">
        <w:rPr>
          <w:rFonts w:cs="Times New Roman"/>
          <w:b/>
          <w:u w:val="single"/>
        </w:rPr>
        <w:t>Chaque projet retenu pourra prétendre à un financement maximum de 1</w:t>
      </w:r>
      <w:r w:rsidR="003557B1" w:rsidRPr="006D21D6">
        <w:rPr>
          <w:rFonts w:cs="Times New Roman"/>
          <w:b/>
          <w:u w:val="single"/>
        </w:rPr>
        <w:t>0</w:t>
      </w:r>
      <w:r w:rsidRPr="006D21D6">
        <w:rPr>
          <w:rFonts w:cs="Times New Roman"/>
          <w:b/>
          <w:u w:val="single"/>
        </w:rPr>
        <w:t>0 000 euros</w:t>
      </w:r>
      <w:r w:rsidRPr="006D21D6">
        <w:rPr>
          <w:rFonts w:cs="Times New Roman"/>
        </w:rPr>
        <w:t xml:space="preserve">. </w:t>
      </w:r>
    </w:p>
    <w:p w14:paraId="4B1C1B72" w14:textId="5BC39A5F" w:rsidR="00F77BBF" w:rsidRDefault="58057F7A" w:rsidP="00F77BBF">
      <w:pPr>
        <w:spacing w:before="240"/>
        <w:rPr>
          <w:rFonts w:cs="Times New Roman"/>
        </w:rPr>
      </w:pPr>
      <w:r w:rsidRPr="006D21D6">
        <w:rPr>
          <w:rFonts w:cs="Times New Roman"/>
        </w:rPr>
        <w:t>La sélection des projets sera assurée par un conseil scientifique dont la composition regroupe les membres financeurs et</w:t>
      </w:r>
      <w:r w:rsidR="00583418" w:rsidRPr="006D21D6">
        <w:rPr>
          <w:rFonts w:cs="Times New Roman"/>
        </w:rPr>
        <w:t xml:space="preserve"> majoritairement</w:t>
      </w:r>
      <w:r w:rsidRPr="006D21D6">
        <w:rPr>
          <w:rFonts w:cs="Times New Roman"/>
        </w:rPr>
        <w:t xml:space="preserve"> des chercheur</w:t>
      </w:r>
      <w:r w:rsidR="007349C7">
        <w:rPr>
          <w:rFonts w:cs="Times New Roman"/>
        </w:rPr>
        <w:t>.se</w:t>
      </w:r>
      <w:r w:rsidRPr="006D21D6">
        <w:rPr>
          <w:rFonts w:cs="Times New Roman"/>
        </w:rPr>
        <w:t>s sélectionné</w:t>
      </w:r>
      <w:r w:rsidR="007349C7">
        <w:rPr>
          <w:rFonts w:cs="Times New Roman"/>
        </w:rPr>
        <w:t>.e</w:t>
      </w:r>
      <w:r w:rsidRPr="006D21D6">
        <w:rPr>
          <w:rFonts w:cs="Times New Roman"/>
        </w:rPr>
        <w:t>s pour leurs compétences dans les domaines de l’appel à projets.</w:t>
      </w:r>
      <w:r w:rsidR="00F77BBF" w:rsidRPr="006D21D6">
        <w:rPr>
          <w:rFonts w:cs="Times New Roman"/>
        </w:rPr>
        <w:t xml:space="preserve"> Les axes thématiques prioritaires</w:t>
      </w:r>
      <w:r w:rsidR="00F77BBF" w:rsidRPr="00F77BBF">
        <w:rPr>
          <w:rFonts w:cs="Times New Roman"/>
        </w:rPr>
        <w:t xml:space="preserve"> des institutions seront portés à la connaissance du CS</w:t>
      </w:r>
      <w:r w:rsidR="00F77BBF">
        <w:rPr>
          <w:rFonts w:cs="Times New Roman"/>
        </w:rPr>
        <w:t>.</w:t>
      </w:r>
    </w:p>
    <w:p w14:paraId="459D32D7" w14:textId="77777777" w:rsidR="00F77BBF" w:rsidRPr="003E3785" w:rsidRDefault="00F77BBF" w:rsidP="00F77BBF">
      <w:pPr>
        <w:spacing w:before="240"/>
        <w:rPr>
          <w:rFonts w:cs="Times New Roman"/>
        </w:rPr>
      </w:pPr>
    </w:p>
    <w:p w14:paraId="2C54DAA3" w14:textId="77777777" w:rsidR="00604124" w:rsidRPr="003E3785" w:rsidRDefault="004F0268" w:rsidP="00EE44A2">
      <w:pPr>
        <w:pStyle w:val="Titre2"/>
      </w:pPr>
      <w:bookmarkStart w:id="12" w:name="_Toc65766632"/>
      <w:bookmarkStart w:id="13" w:name="_Toc238221283"/>
      <w:r w:rsidRPr="003E3785">
        <w:t>Responsable scientifique du projet</w:t>
      </w:r>
      <w:bookmarkEnd w:id="12"/>
      <w:bookmarkEnd w:id="13"/>
    </w:p>
    <w:p w14:paraId="4E54735C" w14:textId="1E041596" w:rsidR="00604124" w:rsidRPr="0099670F" w:rsidRDefault="004F0268" w:rsidP="00587BD4">
      <w:pPr>
        <w:pStyle w:val="Paragraphedeliste"/>
        <w:numPr>
          <w:ilvl w:val="0"/>
          <w:numId w:val="3"/>
        </w:numPr>
      </w:pPr>
      <w:r w:rsidRPr="0099670F">
        <w:t>Le</w:t>
      </w:r>
      <w:r w:rsidR="007349C7">
        <w:t xml:space="preserve"> ou la</w:t>
      </w:r>
      <w:r w:rsidRPr="0099670F">
        <w:t xml:space="preserve"> responsable scientifique du projet de recherche doit être membre d</w:t>
      </w:r>
      <w:r w:rsidR="000300A7">
        <w:t>e l’</w:t>
      </w:r>
      <w:r w:rsidRPr="0099670F">
        <w:t>organisme de recherche</w:t>
      </w:r>
      <w:r w:rsidR="000300A7">
        <w:t xml:space="preserve"> porteur du projet</w:t>
      </w:r>
      <w:r w:rsidRPr="0099670F">
        <w:t xml:space="preserve">. Est considéré comme organisme de recherche, </w:t>
      </w:r>
      <w:r w:rsidR="006D258A">
        <w:t>« </w:t>
      </w:r>
      <w:r w:rsidRPr="006D258A">
        <w:rPr>
          <w:i/>
          <w:iCs/>
        </w:rPr>
        <w:t>une entité, quel que soit son statut légal (organisme de droit public ou privé) ou son mode de financement, dont l</w:t>
      </w:r>
      <w:r w:rsidR="000300A7" w:rsidRPr="006D258A">
        <w:rPr>
          <w:i/>
          <w:iCs/>
        </w:rPr>
        <w:t>’un des</w:t>
      </w:r>
      <w:r w:rsidRPr="006D258A">
        <w:rPr>
          <w:i/>
          <w:iCs/>
        </w:rPr>
        <w:t xml:space="preserve"> but</w:t>
      </w:r>
      <w:r w:rsidR="000300A7" w:rsidRPr="006D258A">
        <w:rPr>
          <w:i/>
          <w:iCs/>
        </w:rPr>
        <w:t>s</w:t>
      </w:r>
      <w:r w:rsidRPr="006D258A">
        <w:rPr>
          <w:i/>
          <w:iCs/>
        </w:rPr>
        <w:t xml:space="preserve"> est d’exercer des activités de recherche et de diffuser leurs résultats par l’enseignement, la publication ou le transfert de technologie ; les profits sont intégralement réinvestis dans ces activités, dans la diffusion de leurs résultats ou dans l’enseignement</w:t>
      </w:r>
      <w:r w:rsidR="006D258A">
        <w:t> »</w:t>
      </w:r>
      <w:r w:rsidRPr="0099670F">
        <w:t> ;</w:t>
      </w:r>
    </w:p>
    <w:p w14:paraId="18DA6997" w14:textId="39F0DFD8" w:rsidR="00604124" w:rsidRPr="0099670F" w:rsidRDefault="000300A7" w:rsidP="00587BD4">
      <w:pPr>
        <w:pStyle w:val="Paragraphedeliste"/>
        <w:numPr>
          <w:ilvl w:val="0"/>
          <w:numId w:val="3"/>
        </w:numPr>
      </w:pPr>
      <w:r>
        <w:t>Le</w:t>
      </w:r>
      <w:r w:rsidR="007349C7">
        <w:t xml:space="preserve"> ou la</w:t>
      </w:r>
      <w:r>
        <w:t xml:space="preserve"> responsable scientifique ne peut proposer qu’un seul projet. Les membres qui comp</w:t>
      </w:r>
      <w:r w:rsidR="006D258A">
        <w:t>o</w:t>
      </w:r>
      <w:r>
        <w:t>seront l’équipe ne peuvent être inscrits que dans un seul projet</w:t>
      </w:r>
      <w:r w:rsidR="00AE16C0">
        <w:t xml:space="preserve"> également</w:t>
      </w:r>
      <w:r>
        <w:t xml:space="preserve"> (un organisme de recherche peut tout de même déposer plusieurs projet</w:t>
      </w:r>
      <w:r w:rsidR="00131BF5">
        <w:t>s</w:t>
      </w:r>
      <w:r>
        <w:t xml:space="preserve">) </w:t>
      </w:r>
      <w:r w:rsidR="004F0268" w:rsidRPr="0099670F">
        <w:t>;</w:t>
      </w:r>
    </w:p>
    <w:p w14:paraId="0E117F2E" w14:textId="1EF4BDFF" w:rsidR="00604124" w:rsidRPr="0099670F" w:rsidRDefault="004F0268" w:rsidP="00587BD4">
      <w:pPr>
        <w:pStyle w:val="Paragraphedeliste"/>
        <w:numPr>
          <w:ilvl w:val="0"/>
          <w:numId w:val="3"/>
        </w:numPr>
      </w:pPr>
      <w:r w:rsidRPr="0099670F">
        <w:lastRenderedPageBreak/>
        <w:t xml:space="preserve">Il </w:t>
      </w:r>
      <w:r w:rsidR="007349C7">
        <w:t xml:space="preserve">ou elle </w:t>
      </w:r>
      <w:r w:rsidRPr="0099670F">
        <w:t xml:space="preserve">peut présenter </w:t>
      </w:r>
      <w:r w:rsidR="00AE16C0">
        <w:t>un</w:t>
      </w:r>
      <w:r w:rsidRPr="0099670F">
        <w:t xml:space="preserve"> projet réalisé en partie par des doctorant</w:t>
      </w:r>
      <w:r w:rsidR="007349C7">
        <w:t>.e</w:t>
      </w:r>
      <w:r w:rsidRPr="0099670F">
        <w:t>s, des postdoctorant</w:t>
      </w:r>
      <w:r w:rsidR="007349C7">
        <w:t>.e</w:t>
      </w:r>
      <w:r w:rsidRPr="0099670F">
        <w:t>s, etc.</w:t>
      </w:r>
      <w:r w:rsidR="00174D0F">
        <w:t xml:space="preserve"> mais doit</w:t>
      </w:r>
      <w:r w:rsidR="00E910F7">
        <w:t>, dans tous les cas,</w:t>
      </w:r>
      <w:r w:rsidR="00174D0F">
        <w:t xml:space="preserve"> consacrer une part de son activité au moins égale à 0.3 ETP au projet </w:t>
      </w:r>
      <w:r w:rsidRPr="0099670F">
        <w:t> ;</w:t>
      </w:r>
    </w:p>
    <w:p w14:paraId="21893FAC" w14:textId="6B648624" w:rsidR="58057F7A" w:rsidRDefault="58057F7A" w:rsidP="00587BD4">
      <w:pPr>
        <w:pStyle w:val="Paragraphedeliste"/>
        <w:numPr>
          <w:ilvl w:val="0"/>
          <w:numId w:val="3"/>
        </w:numPr>
      </w:pPr>
      <w:r w:rsidRPr="0099670F">
        <w:t xml:space="preserve">Le </w:t>
      </w:r>
      <w:r w:rsidR="007349C7">
        <w:t xml:space="preserve">ou la </w:t>
      </w:r>
      <w:r w:rsidRPr="0099670F">
        <w:t>responsable scientifique</w:t>
      </w:r>
      <w:r w:rsidR="00FA6E5F">
        <w:t xml:space="preserve"> ou les membres d’une équipe</w:t>
      </w:r>
      <w:r w:rsidRPr="0099670F">
        <w:t xml:space="preserve"> ne peu</w:t>
      </w:r>
      <w:r w:rsidR="00FA6E5F">
        <w:t>vent</w:t>
      </w:r>
      <w:r w:rsidRPr="0099670F">
        <w:t xml:space="preserve"> être membre du comité scientifique d’évaluation de l’appel à projets.</w:t>
      </w:r>
    </w:p>
    <w:p w14:paraId="10FFD516" w14:textId="07E88BE2" w:rsidR="00604124" w:rsidRPr="003E3785" w:rsidRDefault="004F0268" w:rsidP="00EE44A2">
      <w:pPr>
        <w:pStyle w:val="Titre2"/>
      </w:pPr>
      <w:bookmarkStart w:id="14" w:name="_Toc65766633"/>
      <w:bookmarkStart w:id="15" w:name="_Toc238221284"/>
      <w:r w:rsidRPr="003E3785">
        <w:t>Attendus et engagements des équipes</w:t>
      </w:r>
      <w:bookmarkEnd w:id="14"/>
      <w:bookmarkEnd w:id="15"/>
    </w:p>
    <w:p w14:paraId="32EBB740" w14:textId="365057F1" w:rsidR="00AE16C0" w:rsidRDefault="58057F7A" w:rsidP="00432E66">
      <w:pPr>
        <w:spacing w:before="240"/>
        <w:rPr>
          <w:rFonts w:cs="Times New Roman"/>
        </w:rPr>
      </w:pPr>
      <w:r w:rsidRPr="0099670F">
        <w:rPr>
          <w:rFonts w:cs="Times New Roman"/>
        </w:rPr>
        <w:t>Durant les 24 mois</w:t>
      </w:r>
      <w:r w:rsidR="001E7229" w:rsidRPr="0099670F">
        <w:rPr>
          <w:rFonts w:cs="Times New Roman"/>
        </w:rPr>
        <w:t xml:space="preserve"> </w:t>
      </w:r>
      <w:r w:rsidRPr="0099670F">
        <w:rPr>
          <w:rFonts w:cs="Times New Roman"/>
        </w:rPr>
        <w:t>de financement du projet, il est attendu des équipes qu’elles participent à</w:t>
      </w:r>
      <w:r w:rsidR="00FE2265">
        <w:rPr>
          <w:rFonts w:cs="Times New Roman"/>
        </w:rPr>
        <w:t xml:space="preserve"> </w:t>
      </w:r>
      <w:r w:rsidR="00FE2265" w:rsidRPr="00FE2265">
        <w:rPr>
          <w:rFonts w:cs="Times New Roman"/>
          <w:u w:val="single"/>
        </w:rPr>
        <w:t>trois journées d’étude</w:t>
      </w:r>
      <w:r w:rsidR="00FE2265">
        <w:rPr>
          <w:rFonts w:cs="Times New Roman"/>
        </w:rPr>
        <w:t> (</w:t>
      </w:r>
      <w:r w:rsidRPr="00FE2265">
        <w:rPr>
          <w:rFonts w:cs="Times New Roman"/>
        </w:rPr>
        <w:t>réunion de lancement</w:t>
      </w:r>
      <w:r w:rsidR="00FE2265" w:rsidRPr="00FE2265">
        <w:rPr>
          <w:rFonts w:cs="Times New Roman"/>
        </w:rPr>
        <w:t>,</w:t>
      </w:r>
      <w:r w:rsidR="00FE2265">
        <w:rPr>
          <w:rFonts w:cs="Times New Roman"/>
        </w:rPr>
        <w:t xml:space="preserve"> intermédiaire et finale) organisée</w:t>
      </w:r>
      <w:r w:rsidR="007349C7">
        <w:rPr>
          <w:rFonts w:cs="Times New Roman"/>
        </w:rPr>
        <w:t>s</w:t>
      </w:r>
      <w:r w:rsidR="00FE2265">
        <w:rPr>
          <w:rFonts w:cs="Times New Roman"/>
        </w:rPr>
        <w:t xml:space="preserve"> par la Drees en présentiel </w:t>
      </w:r>
      <w:r w:rsidRPr="0099670F">
        <w:rPr>
          <w:rFonts w:cs="Times New Roman"/>
        </w:rPr>
        <w:t>où chaque porteur</w:t>
      </w:r>
      <w:r w:rsidR="007349C7">
        <w:rPr>
          <w:rFonts w:cs="Times New Roman"/>
        </w:rPr>
        <w:t>.se</w:t>
      </w:r>
      <w:r w:rsidRPr="0099670F">
        <w:rPr>
          <w:rFonts w:cs="Times New Roman"/>
        </w:rPr>
        <w:t xml:space="preserve"> de projet (ou représentant</w:t>
      </w:r>
      <w:r w:rsidR="007349C7">
        <w:rPr>
          <w:rFonts w:cs="Times New Roman"/>
        </w:rPr>
        <w:t>.e</w:t>
      </w:r>
      <w:r w:rsidRPr="0099670F">
        <w:rPr>
          <w:rFonts w:cs="Times New Roman"/>
        </w:rPr>
        <w:t xml:space="preserve"> de l’équipe) fera part de </w:t>
      </w:r>
      <w:r w:rsidR="000222C9" w:rsidRPr="0099670F">
        <w:rPr>
          <w:rFonts w:cs="Times New Roman"/>
        </w:rPr>
        <w:t xml:space="preserve">ses </w:t>
      </w:r>
      <w:r w:rsidRPr="0099670F">
        <w:rPr>
          <w:rFonts w:cs="Times New Roman"/>
        </w:rPr>
        <w:t xml:space="preserve">avancées. </w:t>
      </w:r>
      <w:r w:rsidR="00FE2265">
        <w:rPr>
          <w:rFonts w:cs="Times New Roman"/>
        </w:rPr>
        <w:t>En outre, l</w:t>
      </w:r>
      <w:r w:rsidRPr="0099670F">
        <w:rPr>
          <w:rFonts w:cs="Times New Roman"/>
        </w:rPr>
        <w:t>es équipes pourront aussi êt</w:t>
      </w:r>
      <w:r w:rsidR="000222C9" w:rsidRPr="0099670F">
        <w:rPr>
          <w:rFonts w:cs="Times New Roman"/>
        </w:rPr>
        <w:t>re</w:t>
      </w:r>
      <w:r w:rsidRPr="0099670F">
        <w:rPr>
          <w:rFonts w:cs="Times New Roman"/>
        </w:rPr>
        <w:t xml:space="preserve"> invitées à présenter leurs travaux dans des évènements organisés par les financeurs (réunions, séminaires, colloques, etc.). Cette procédure assure un échange entre les équipes et une cohérence entre les recherches.</w:t>
      </w:r>
    </w:p>
    <w:p w14:paraId="56971224" w14:textId="3AB42DC9" w:rsidR="00EA08F2" w:rsidRDefault="00AE16C0" w:rsidP="00432E66">
      <w:pPr>
        <w:spacing w:before="240"/>
        <w:rPr>
          <w:rFonts w:cs="Times New Roman"/>
        </w:rPr>
      </w:pPr>
      <w:r>
        <w:rPr>
          <w:rFonts w:cs="Times New Roman"/>
        </w:rPr>
        <w:t>I</w:t>
      </w:r>
      <w:r w:rsidR="58057F7A" w:rsidRPr="0099670F">
        <w:rPr>
          <w:rFonts w:cs="Times New Roman"/>
        </w:rPr>
        <w:t xml:space="preserve">l est </w:t>
      </w:r>
      <w:r>
        <w:rPr>
          <w:rFonts w:cs="Times New Roman"/>
        </w:rPr>
        <w:t xml:space="preserve">également </w:t>
      </w:r>
      <w:r w:rsidR="58057F7A" w:rsidRPr="0099670F">
        <w:rPr>
          <w:rFonts w:cs="Times New Roman"/>
        </w:rPr>
        <w:t>attendu des équipes qu’elles fournissent plusieurs documents</w:t>
      </w:r>
      <w:r>
        <w:rPr>
          <w:rFonts w:cs="Times New Roman"/>
        </w:rPr>
        <w:t xml:space="preserve"> durant les 24 mois</w:t>
      </w:r>
      <w:r w:rsidR="58057F7A" w:rsidRPr="0099670F">
        <w:rPr>
          <w:rFonts w:cs="Times New Roman"/>
        </w:rPr>
        <w:t>, dont</w:t>
      </w:r>
      <w:r>
        <w:rPr>
          <w:rFonts w:cs="Times New Roman"/>
        </w:rPr>
        <w:t xml:space="preserve"> une « note d’étape » (+3 mois),</w:t>
      </w:r>
      <w:r w:rsidR="58057F7A" w:rsidRPr="0099670F">
        <w:rPr>
          <w:rFonts w:cs="Times New Roman"/>
        </w:rPr>
        <w:t xml:space="preserve"> un rapport scientifique</w:t>
      </w:r>
      <w:r>
        <w:rPr>
          <w:rFonts w:cs="Times New Roman"/>
        </w:rPr>
        <w:t xml:space="preserve"> de mi-parcours (+12 mois) et un rapport scientifique final (+24 mois)</w:t>
      </w:r>
      <w:r w:rsidR="58057F7A" w:rsidRPr="0099670F">
        <w:rPr>
          <w:rFonts w:cs="Times New Roman"/>
        </w:rPr>
        <w:t xml:space="preserve"> synthétisant les principaux résultats </w:t>
      </w:r>
      <w:r>
        <w:rPr>
          <w:rFonts w:cs="Times New Roman"/>
        </w:rPr>
        <w:t>ainsi qu’</w:t>
      </w:r>
      <w:r w:rsidR="58057F7A" w:rsidRPr="0099670F">
        <w:rPr>
          <w:rFonts w:cs="Times New Roman"/>
        </w:rPr>
        <w:t xml:space="preserve">une synthèse </w:t>
      </w:r>
      <w:r w:rsidR="002664C3">
        <w:rPr>
          <w:rFonts w:cs="Times New Roman"/>
        </w:rPr>
        <w:t>comportant</w:t>
      </w:r>
      <w:r w:rsidR="58057F7A" w:rsidRPr="0099670F">
        <w:rPr>
          <w:rFonts w:cs="Times New Roman"/>
        </w:rPr>
        <w:t xml:space="preserve"> des recommandations susceptibles d’aiguiller les politiques publiques selon les domaines traités.</w:t>
      </w:r>
      <w:bookmarkStart w:id="16" w:name="_Toc65766634"/>
    </w:p>
    <w:p w14:paraId="7783D7C3" w14:textId="77777777" w:rsidR="00087CD1" w:rsidRPr="0099670F" w:rsidRDefault="00087CD1" w:rsidP="00432E66">
      <w:pPr>
        <w:spacing w:before="240"/>
        <w:rPr>
          <w:rFonts w:cs="Times New Roman"/>
        </w:rPr>
      </w:pPr>
    </w:p>
    <w:p w14:paraId="768B2EDF" w14:textId="190E59C8" w:rsidR="00604124" w:rsidRPr="003E3785" w:rsidRDefault="004F0268" w:rsidP="00EE44A2">
      <w:pPr>
        <w:pStyle w:val="Titre2"/>
      </w:pPr>
      <w:bookmarkStart w:id="17" w:name="_Toc238221285"/>
      <w:r w:rsidRPr="003E3785">
        <w:t>Organisme responsable du projet de recherche</w:t>
      </w:r>
      <w:bookmarkEnd w:id="16"/>
      <w:bookmarkEnd w:id="17"/>
    </w:p>
    <w:p w14:paraId="54921766" w14:textId="4492CB37" w:rsidR="00604124" w:rsidRPr="006D21D6" w:rsidRDefault="004F0268" w:rsidP="00587BD4">
      <w:pPr>
        <w:pStyle w:val="Paragraphedeliste"/>
        <w:numPr>
          <w:ilvl w:val="0"/>
          <w:numId w:val="3"/>
        </w:numPr>
      </w:pPr>
      <w:r w:rsidRPr="0099670F">
        <w:t xml:space="preserve">L’organisme responsable du projet de recherche peut présenter un projet fédérant plusieurs équipes de recherche, relevant de disciplines différentes, étant entendu qu’il sera le seul contractant pour l’ensemble des </w:t>
      </w:r>
      <w:r w:rsidRPr="006D21D6">
        <w:t>équipes. Le projet peut aussi s’appuyer sur une coopération avec de</w:t>
      </w:r>
      <w:r w:rsidR="00435914" w:rsidRPr="006D21D6">
        <w:t>s co-chercheurs et acteurs de</w:t>
      </w:r>
      <w:r w:rsidRPr="006D21D6">
        <w:t xml:space="preserve"> terrain (voir notamment l’</w:t>
      </w:r>
      <w:r w:rsidR="005B10EF" w:rsidRPr="006D21D6">
        <w:t>annexe 1</w:t>
      </w:r>
      <w:r w:rsidRPr="006D21D6">
        <w:t xml:space="preserve"> sur la recherche</w:t>
      </w:r>
      <w:r w:rsidR="00A4307C" w:rsidRPr="006D21D6">
        <w:t>-action</w:t>
      </w:r>
      <w:r w:rsidRPr="006D21D6">
        <w:t xml:space="preserve"> participative) ;</w:t>
      </w:r>
    </w:p>
    <w:p w14:paraId="03987D99" w14:textId="6AB302B0" w:rsidR="00604124" w:rsidRPr="0099670F" w:rsidRDefault="004F0268" w:rsidP="00587BD4">
      <w:pPr>
        <w:pStyle w:val="Paragraphedeliste"/>
        <w:numPr>
          <w:ilvl w:val="0"/>
          <w:numId w:val="3"/>
        </w:numPr>
      </w:pPr>
      <w:r w:rsidRPr="0099670F">
        <w:t xml:space="preserve">Il est responsable devant </w:t>
      </w:r>
      <w:r w:rsidRPr="006D21D6">
        <w:t xml:space="preserve">la </w:t>
      </w:r>
      <w:r w:rsidR="006A193D" w:rsidRPr="006D21D6">
        <w:rPr>
          <w:rFonts w:cs="Times New Roman"/>
        </w:rPr>
        <w:t>Drees</w:t>
      </w:r>
      <w:r w:rsidR="006A193D" w:rsidRPr="006D21D6">
        <w:t xml:space="preserve"> </w:t>
      </w:r>
      <w:r w:rsidRPr="006D21D6">
        <w:t>de l’avancement du projet</w:t>
      </w:r>
      <w:r w:rsidR="00F722FA" w:rsidRPr="006D21D6">
        <w:t xml:space="preserve"> (qui fera le lien avec </w:t>
      </w:r>
      <w:r w:rsidR="00AE16C0" w:rsidRPr="006D21D6">
        <w:t>les co-financeurs</w:t>
      </w:r>
      <w:r w:rsidR="00F722FA" w:rsidRPr="006D21D6">
        <w:t>)</w:t>
      </w:r>
      <w:r w:rsidRPr="006D21D6">
        <w:t>, de la transmission des rapports scientifiques et financiers et du reversement des fonds aux parties prenantes ;</w:t>
      </w:r>
    </w:p>
    <w:p w14:paraId="0C170C62" w14:textId="7FAB876F" w:rsidR="00604124" w:rsidRDefault="004F0268" w:rsidP="00587BD4">
      <w:pPr>
        <w:pStyle w:val="Paragraphedeliste"/>
        <w:numPr>
          <w:ilvl w:val="0"/>
          <w:numId w:val="3"/>
        </w:numPr>
      </w:pPr>
      <w:r w:rsidRPr="0099670F">
        <w:t>Un même organisme peut déposer plusieurs projets</w:t>
      </w:r>
      <w:r w:rsidR="00E910F7">
        <w:t xml:space="preserve"> de recherche portées par</w:t>
      </w:r>
      <w:r w:rsidRPr="0099670F">
        <w:t xml:space="preserve"> d</w:t>
      </w:r>
      <w:r w:rsidR="00E910F7">
        <w:t xml:space="preserve">es </w:t>
      </w:r>
      <w:r w:rsidRPr="0099670F">
        <w:t>équipes différentes.</w:t>
      </w:r>
    </w:p>
    <w:p w14:paraId="31631438" w14:textId="77777777" w:rsidR="00601856" w:rsidRPr="0099670F" w:rsidRDefault="00601856" w:rsidP="00601856">
      <w:pPr>
        <w:spacing w:before="60" w:after="60"/>
      </w:pPr>
    </w:p>
    <w:p w14:paraId="7D105842" w14:textId="498581A7" w:rsidR="00604124" w:rsidRPr="003E3785" w:rsidRDefault="0019EC91" w:rsidP="00601856">
      <w:pPr>
        <w:pStyle w:val="Titre2"/>
      </w:pPr>
      <w:bookmarkStart w:id="18" w:name="__RefHeading___Toc1685_2313596743"/>
      <w:bookmarkStart w:id="19" w:name="_Toc65766635"/>
      <w:bookmarkStart w:id="20" w:name="_Toc238221286"/>
      <w:bookmarkEnd w:id="18"/>
      <w:r w:rsidRPr="003E3785">
        <w:t>Délais et modalités pratiques de réponse à l’A</w:t>
      </w:r>
      <w:bookmarkEnd w:id="19"/>
      <w:r w:rsidR="00CB02F0" w:rsidRPr="003E3785">
        <w:t>PR</w:t>
      </w:r>
      <w:bookmarkEnd w:id="20"/>
    </w:p>
    <w:p w14:paraId="73212F17" w14:textId="77777777" w:rsidR="00AE16C0" w:rsidRPr="00124FE8" w:rsidRDefault="00AE16C0" w:rsidP="00AE16C0">
      <w:pPr>
        <w:rPr>
          <w:rFonts w:ascii="Calibri" w:hAnsi="Calibri" w:cs="Calibri"/>
          <w:sz w:val="20"/>
          <w:szCs w:val="20"/>
        </w:rPr>
      </w:pPr>
      <w:bookmarkStart w:id="21" w:name="_Hlk191628475"/>
      <w:bookmarkStart w:id="22" w:name="_Toc6576663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2"/>
      </w:tblGrid>
      <w:tr w:rsidR="00AE16C0" w:rsidRPr="002C3923" w14:paraId="79A76B03" w14:textId="77777777" w:rsidTr="00D26B6D">
        <w:trPr>
          <w:cantSplit/>
        </w:trPr>
        <w:tc>
          <w:tcPr>
            <w:tcW w:w="9212" w:type="dxa"/>
            <w:tcBorders>
              <w:top w:val="single" w:sz="12" w:space="0" w:color="auto"/>
              <w:left w:val="single" w:sz="12" w:space="0" w:color="auto"/>
              <w:bottom w:val="single" w:sz="12" w:space="0" w:color="auto"/>
              <w:right w:val="single" w:sz="12" w:space="0" w:color="auto"/>
            </w:tcBorders>
          </w:tcPr>
          <w:p w14:paraId="57414B43" w14:textId="77777777" w:rsidR="00AE16C0" w:rsidRPr="00495F90" w:rsidRDefault="00AE16C0" w:rsidP="00C444C0">
            <w:pPr>
              <w:pStyle w:val="Corpsdetexte"/>
              <w:jc w:val="center"/>
              <w:rPr>
                <w:rFonts w:eastAsia="Calibri"/>
                <w:b/>
                <w:szCs w:val="24"/>
                <w:u w:val="single"/>
              </w:rPr>
            </w:pPr>
            <w:r w:rsidRPr="00495F90">
              <w:rPr>
                <w:b/>
                <w:smallCaps/>
                <w:szCs w:val="24"/>
                <w:u w:val="single"/>
              </w:rPr>
              <w:lastRenderedPageBreak/>
              <w:t>Date de clôture de l’appel à projets :</w:t>
            </w:r>
          </w:p>
          <w:p w14:paraId="7EF13C6D" w14:textId="295D06D4" w:rsidR="00AE16C0" w:rsidRPr="00495F90" w:rsidRDefault="00AE16C0" w:rsidP="00C444C0">
            <w:pPr>
              <w:pStyle w:val="Corpsdetexte"/>
              <w:jc w:val="center"/>
              <w:rPr>
                <w:b/>
                <w:color w:val="000000"/>
                <w:szCs w:val="24"/>
              </w:rPr>
            </w:pPr>
            <w:r w:rsidRPr="00495F90">
              <w:rPr>
                <w:rFonts w:eastAsia="Calibri"/>
                <w:b/>
                <w:szCs w:val="24"/>
                <w:u w:val="single"/>
              </w:rPr>
              <w:t xml:space="preserve">Lundi </w:t>
            </w:r>
            <w:r w:rsidR="00C3126D" w:rsidRPr="00495F90">
              <w:rPr>
                <w:rFonts w:eastAsia="Calibri"/>
                <w:b/>
                <w:szCs w:val="24"/>
                <w:u w:val="single"/>
              </w:rPr>
              <w:t>30 novembre</w:t>
            </w:r>
            <w:r w:rsidRPr="00495F90">
              <w:rPr>
                <w:rFonts w:eastAsia="Calibri"/>
                <w:b/>
                <w:szCs w:val="24"/>
                <w:u w:val="single"/>
              </w:rPr>
              <w:t xml:space="preserve"> 2026 midi</w:t>
            </w:r>
            <w:r w:rsidRPr="00495F90">
              <w:rPr>
                <w:rFonts w:eastAsia="Calibri"/>
                <w:b/>
                <w:szCs w:val="24"/>
              </w:rPr>
              <w:t xml:space="preserve"> (l’envoi </w:t>
            </w:r>
            <w:r w:rsidRPr="00495F90">
              <w:rPr>
                <w:rFonts w:eastAsia="Calibri"/>
                <w:b/>
                <w:color w:val="000000"/>
                <w:szCs w:val="24"/>
              </w:rPr>
              <w:t>électronique faisant foi)</w:t>
            </w:r>
          </w:p>
          <w:p w14:paraId="58258738" w14:textId="77777777" w:rsidR="00AE16C0" w:rsidRPr="00495F90" w:rsidRDefault="00AE16C0" w:rsidP="00C444C0">
            <w:pPr>
              <w:spacing w:before="240"/>
              <w:rPr>
                <w:rFonts w:cs="Times New Roman"/>
                <w:b/>
              </w:rPr>
            </w:pPr>
            <w:r w:rsidRPr="00495F90">
              <w:rPr>
                <w:rFonts w:cs="Times New Roman"/>
                <w:b/>
              </w:rPr>
              <w:t>Le texte de l’appel à projets et le dossier de réponse sont disponibles :</w:t>
            </w:r>
          </w:p>
          <w:p w14:paraId="32C14FB4" w14:textId="498C1FF3" w:rsidR="00AE16C0" w:rsidRPr="00495F90" w:rsidRDefault="00AE16C0" w:rsidP="00587BD4">
            <w:pPr>
              <w:pStyle w:val="Paragraphedeliste"/>
              <w:numPr>
                <w:ilvl w:val="0"/>
                <w:numId w:val="3"/>
              </w:numPr>
              <w:rPr>
                <w:rFonts w:cs="Times New Roman"/>
              </w:rPr>
            </w:pPr>
            <w:r w:rsidRPr="00495F90">
              <w:rPr>
                <w:rFonts w:cs="Times New Roman"/>
              </w:rPr>
              <w:t xml:space="preserve">Sur le site de la </w:t>
            </w:r>
            <w:hyperlink r:id="rId13">
              <w:r w:rsidR="00242A87" w:rsidRPr="00495F90">
                <w:rPr>
                  <w:rFonts w:cs="Times New Roman"/>
                </w:rPr>
                <w:t>Drees</w:t>
              </w:r>
            </w:hyperlink>
            <w:r w:rsidRPr="00495F90">
              <w:rPr>
                <w:rFonts w:cs="Times New Roman"/>
              </w:rPr>
              <w:t xml:space="preserve"> (rubrique « Recherche et Observatoires » puis « Mission Recherche » et onglet « Programmes de recherche ») ;</w:t>
            </w:r>
          </w:p>
          <w:p w14:paraId="3D1B767F" w14:textId="77777777" w:rsidR="00AE16C0" w:rsidRPr="00495F90" w:rsidRDefault="00AE16C0" w:rsidP="00C444C0">
            <w:pPr>
              <w:spacing w:before="240"/>
              <w:rPr>
                <w:rFonts w:cs="Times New Roman"/>
                <w:b/>
              </w:rPr>
            </w:pPr>
            <w:r w:rsidRPr="00495F90">
              <w:rPr>
                <w:rFonts w:cs="Times New Roman"/>
                <w:b/>
              </w:rPr>
              <w:t>Le dossier de réponse et le budget financier, ainsi que les pièces justificatives, devront parvenir (l’envoi électronique faisant foi) :</w:t>
            </w:r>
          </w:p>
          <w:p w14:paraId="79CCA328" w14:textId="474BFEC8" w:rsidR="00AE16C0" w:rsidRPr="00495F90" w:rsidRDefault="00AE16C0" w:rsidP="00587BD4">
            <w:pPr>
              <w:pStyle w:val="Paragraphedeliste"/>
              <w:numPr>
                <w:ilvl w:val="0"/>
                <w:numId w:val="4"/>
              </w:numPr>
              <w:rPr>
                <w:rFonts w:cs="Times New Roman"/>
              </w:rPr>
            </w:pPr>
            <w:r w:rsidRPr="00495F90">
              <w:rPr>
                <w:rFonts w:cs="Times New Roman"/>
                <w:b/>
              </w:rPr>
              <w:t xml:space="preserve">Avant le </w:t>
            </w:r>
            <w:r w:rsidRPr="00495F90">
              <w:rPr>
                <w:rFonts w:cs="Times New Roman"/>
                <w:b/>
                <w:color w:val="000000"/>
              </w:rPr>
              <w:t xml:space="preserve">lundi </w:t>
            </w:r>
            <w:r w:rsidR="00C3126D" w:rsidRPr="00495F90">
              <w:rPr>
                <w:rFonts w:cs="Times New Roman"/>
                <w:b/>
                <w:color w:val="000000"/>
              </w:rPr>
              <w:t>30</w:t>
            </w:r>
            <w:r w:rsidRPr="00495F90">
              <w:rPr>
                <w:rFonts w:cs="Times New Roman"/>
                <w:b/>
                <w:color w:val="000000"/>
              </w:rPr>
              <w:t xml:space="preserve"> </w:t>
            </w:r>
            <w:r w:rsidR="00C3126D" w:rsidRPr="00495F90">
              <w:rPr>
                <w:rFonts w:cs="Times New Roman"/>
                <w:b/>
                <w:color w:val="000000"/>
              </w:rPr>
              <w:t>novembre</w:t>
            </w:r>
            <w:r w:rsidRPr="00495F90">
              <w:rPr>
                <w:rFonts w:cs="Times New Roman"/>
                <w:b/>
                <w:color w:val="000000"/>
              </w:rPr>
              <w:t xml:space="preserve"> 2026 (midi, heure de Paris)</w:t>
            </w:r>
            <w:r w:rsidRPr="00495F90">
              <w:rPr>
                <w:rFonts w:cs="Times New Roman"/>
                <w:b/>
              </w:rPr>
              <w:t xml:space="preserve">, </w:t>
            </w:r>
            <w:r w:rsidRPr="00495F90">
              <w:rPr>
                <w:rFonts w:cs="Times New Roman"/>
              </w:rPr>
              <w:t>par messagerie électronique, au format Word pour le dossier de réponse et au format Excel pour le budget financier, à l’adresse suivante :</w:t>
            </w:r>
          </w:p>
          <w:p w14:paraId="3A9C282C" w14:textId="4B059A74" w:rsidR="00AE16C0" w:rsidRPr="00F77BBF" w:rsidRDefault="00AE16C0" w:rsidP="00F77BBF">
            <w:pPr>
              <w:ind w:left="720"/>
              <w:jc w:val="center"/>
              <w:rPr>
                <w:rStyle w:val="Lienhypertexte"/>
                <w:rFonts w:cs="Calibri"/>
                <w:color w:val="000000"/>
                <w:sz w:val="20"/>
                <w:szCs w:val="20"/>
                <w:u w:val="none"/>
              </w:rPr>
            </w:pPr>
            <w:hyperlink r:id="rId14" w:history="1">
              <w:r w:rsidRPr="00F77BBF">
                <w:rPr>
                  <w:rStyle w:val="Lienhypertexte"/>
                  <w:rFonts w:cs="Calibri"/>
                </w:rPr>
                <w:t>drees-mire@sante.gouv.fr</w:t>
              </w:r>
            </w:hyperlink>
          </w:p>
          <w:p w14:paraId="13BDF688" w14:textId="77777777" w:rsidR="00AE16C0" w:rsidRPr="002C3923" w:rsidRDefault="00AE16C0" w:rsidP="00C444C0">
            <w:pPr>
              <w:rPr>
                <w:rFonts w:ascii="Calibri" w:hAnsi="Calibri" w:cs="Calibri"/>
                <w:sz w:val="20"/>
                <w:szCs w:val="20"/>
              </w:rPr>
            </w:pPr>
          </w:p>
        </w:tc>
      </w:tr>
    </w:tbl>
    <w:p w14:paraId="6954B841" w14:textId="2D4D3D08" w:rsidR="00604124" w:rsidRPr="003E3785" w:rsidRDefault="004F0268" w:rsidP="00EE44A2">
      <w:pPr>
        <w:pStyle w:val="Titre2"/>
      </w:pPr>
      <w:bookmarkStart w:id="23" w:name="_Toc238221287"/>
      <w:bookmarkEnd w:id="21"/>
      <w:r w:rsidRPr="003E3785">
        <w:t>Procédure de sélection</w:t>
      </w:r>
      <w:bookmarkEnd w:id="22"/>
      <w:bookmarkEnd w:id="23"/>
    </w:p>
    <w:p w14:paraId="62C6E2C8" w14:textId="04600BF1" w:rsidR="00087CD1" w:rsidRDefault="004F0268" w:rsidP="009F599B">
      <w:pPr>
        <w:spacing w:before="240"/>
        <w:rPr>
          <w:rFonts w:cs="Times New Roman"/>
        </w:rPr>
      </w:pPr>
      <w:r w:rsidRPr="00087CD1">
        <w:rPr>
          <w:rFonts w:cs="Times New Roman"/>
        </w:rPr>
        <w:t>L’évaluation des projets sera effectuée par un comité scientifique composé de chercheurs</w:t>
      </w:r>
      <w:r w:rsidR="002664C3">
        <w:rPr>
          <w:rFonts w:cs="Times New Roman"/>
        </w:rPr>
        <w:t xml:space="preserve"> et</w:t>
      </w:r>
      <w:r w:rsidRPr="00087CD1">
        <w:rPr>
          <w:rFonts w:cs="Times New Roman"/>
        </w:rPr>
        <w:t xml:space="preserve"> d’experts sur les questions traitées. Il s’appuiera sur </w:t>
      </w:r>
      <w:r w:rsidRPr="006D21D6">
        <w:rPr>
          <w:rFonts w:cs="Times New Roman"/>
        </w:rPr>
        <w:t xml:space="preserve">deux expertises écrites réalisées par des experts du champ, </w:t>
      </w:r>
      <w:r w:rsidR="00FF5D4C" w:rsidRPr="006D21D6">
        <w:rPr>
          <w:rFonts w:cs="Times New Roman"/>
        </w:rPr>
        <w:t xml:space="preserve">et </w:t>
      </w:r>
      <w:r w:rsidRPr="006D21D6">
        <w:rPr>
          <w:rFonts w:cs="Times New Roman"/>
        </w:rPr>
        <w:t xml:space="preserve">il tiendra compte également du souhait de la </w:t>
      </w:r>
      <w:r w:rsidR="006A193D" w:rsidRPr="006D21D6">
        <w:rPr>
          <w:rFonts w:cs="Times New Roman"/>
        </w:rPr>
        <w:t>Drees</w:t>
      </w:r>
      <w:r w:rsidR="00FC59F7">
        <w:rPr>
          <w:rFonts w:cs="Times New Roman"/>
        </w:rPr>
        <w:t>,</w:t>
      </w:r>
      <w:r w:rsidR="00F375E9" w:rsidRPr="006D21D6">
        <w:rPr>
          <w:rFonts w:cs="Times New Roman"/>
        </w:rPr>
        <w:t xml:space="preserve"> de </w:t>
      </w:r>
      <w:r w:rsidR="006D21D6" w:rsidRPr="006D21D6">
        <w:rPr>
          <w:rFonts w:cs="Times New Roman"/>
        </w:rPr>
        <w:t>l’ONS</w:t>
      </w:r>
      <w:r w:rsidR="00FC59F7">
        <w:rPr>
          <w:rFonts w:cs="Times New Roman"/>
        </w:rPr>
        <w:t xml:space="preserve"> et de l’Injep</w:t>
      </w:r>
      <w:r w:rsidRPr="006D21D6">
        <w:rPr>
          <w:rFonts w:cs="Times New Roman"/>
        </w:rPr>
        <w:t xml:space="preserve"> </w:t>
      </w:r>
      <w:r w:rsidR="00FC59F7">
        <w:rPr>
          <w:rFonts w:cs="Times New Roman"/>
        </w:rPr>
        <w:t xml:space="preserve">de couvrir l’ensemble </w:t>
      </w:r>
      <w:r w:rsidRPr="006D21D6">
        <w:rPr>
          <w:rFonts w:cs="Times New Roman"/>
        </w:rPr>
        <w:t xml:space="preserve">des axes </w:t>
      </w:r>
      <w:r w:rsidR="00506D8F" w:rsidRPr="006D21D6">
        <w:rPr>
          <w:rFonts w:cs="Times New Roman"/>
        </w:rPr>
        <w:t>de</w:t>
      </w:r>
      <w:r w:rsidRPr="006D21D6">
        <w:rPr>
          <w:rFonts w:cs="Times New Roman"/>
        </w:rPr>
        <w:t xml:space="preserve"> cet appel.</w:t>
      </w:r>
      <w:r w:rsidR="002664C3" w:rsidRPr="006D21D6">
        <w:rPr>
          <w:rFonts w:cs="Times New Roman"/>
        </w:rPr>
        <w:t xml:space="preserve"> De</w:t>
      </w:r>
      <w:r w:rsidR="00F77BBF" w:rsidRPr="006D21D6">
        <w:rPr>
          <w:rFonts w:cs="Times New Roman"/>
        </w:rPr>
        <w:t>s</w:t>
      </w:r>
      <w:r w:rsidR="002664C3" w:rsidRPr="006D21D6">
        <w:rPr>
          <w:rFonts w:cs="Times New Roman"/>
        </w:rPr>
        <w:t xml:space="preserve"> représentant</w:t>
      </w:r>
      <w:r w:rsidR="00495F90">
        <w:rPr>
          <w:rFonts w:cs="Times New Roman"/>
        </w:rPr>
        <w:t>.e</w:t>
      </w:r>
      <w:r w:rsidR="002664C3" w:rsidRPr="006D21D6">
        <w:rPr>
          <w:rFonts w:cs="Times New Roman"/>
        </w:rPr>
        <w:t>s de la Drees</w:t>
      </w:r>
      <w:r w:rsidR="00FC59F7">
        <w:rPr>
          <w:rFonts w:cs="Times New Roman"/>
        </w:rPr>
        <w:t>,</w:t>
      </w:r>
      <w:r w:rsidR="002664C3" w:rsidRPr="006D21D6">
        <w:rPr>
          <w:rFonts w:cs="Times New Roman"/>
        </w:rPr>
        <w:t xml:space="preserve"> de l’ONS</w:t>
      </w:r>
      <w:r w:rsidR="00FC59F7">
        <w:rPr>
          <w:rFonts w:cs="Times New Roman"/>
        </w:rPr>
        <w:t xml:space="preserve"> et de l’Injep</w:t>
      </w:r>
      <w:r w:rsidR="006D21D6" w:rsidRPr="006D21D6">
        <w:rPr>
          <w:rFonts w:cs="Times New Roman"/>
        </w:rPr>
        <w:t xml:space="preserve"> </w:t>
      </w:r>
      <w:r w:rsidR="002664C3" w:rsidRPr="006D21D6">
        <w:rPr>
          <w:rFonts w:cs="Times New Roman"/>
        </w:rPr>
        <w:t>pourront</w:t>
      </w:r>
      <w:r w:rsidR="002664C3">
        <w:rPr>
          <w:rFonts w:cs="Times New Roman"/>
        </w:rPr>
        <w:t xml:space="preserve"> assister aux délibérations du Comité scientifique.</w:t>
      </w:r>
    </w:p>
    <w:p w14:paraId="4286A4CD" w14:textId="77777777" w:rsidR="00E456BD" w:rsidRDefault="00E456BD" w:rsidP="009F599B">
      <w:pPr>
        <w:spacing w:before="240"/>
        <w:rPr>
          <w:rFonts w:cs="Times New Roman"/>
        </w:rPr>
      </w:pPr>
    </w:p>
    <w:p w14:paraId="59D94499" w14:textId="77777777" w:rsidR="00604124" w:rsidRPr="003E3785" w:rsidRDefault="004F0268" w:rsidP="00E456BD">
      <w:pPr>
        <w:spacing w:after="120"/>
        <w:rPr>
          <w:rFonts w:cs="Times New Roman"/>
          <w:b/>
          <w:sz w:val="24"/>
          <w:szCs w:val="24"/>
          <w:u w:val="single"/>
        </w:rPr>
      </w:pPr>
      <w:r w:rsidRPr="003E3785">
        <w:rPr>
          <w:rFonts w:cs="Times New Roman"/>
          <w:b/>
          <w:sz w:val="24"/>
          <w:szCs w:val="24"/>
          <w:u w:val="single"/>
        </w:rPr>
        <w:t xml:space="preserve">Les projets de recherche seront évalués selon les critères suivants : </w:t>
      </w:r>
    </w:p>
    <w:p w14:paraId="7F297B1E" w14:textId="77777777" w:rsidR="00604124" w:rsidRPr="00087CD1" w:rsidRDefault="004F0268" w:rsidP="00587BD4">
      <w:pPr>
        <w:pStyle w:val="Paragraphedeliste"/>
        <w:numPr>
          <w:ilvl w:val="0"/>
          <w:numId w:val="5"/>
        </w:numPr>
      </w:pPr>
      <w:bookmarkStart w:id="24" w:name="_Hlk190089311"/>
      <w:r w:rsidRPr="00087CD1">
        <w:t>L’adéquation de la problématique du projet avec les objectifs de l’appel à projets de recherche ;</w:t>
      </w:r>
    </w:p>
    <w:p w14:paraId="7565306C" w14:textId="77777777" w:rsidR="00604124" w:rsidRPr="00087CD1" w:rsidRDefault="004F0268" w:rsidP="00587BD4">
      <w:pPr>
        <w:pStyle w:val="Paragraphedeliste"/>
        <w:numPr>
          <w:ilvl w:val="0"/>
          <w:numId w:val="5"/>
        </w:numPr>
      </w:pPr>
      <w:r w:rsidRPr="00087CD1">
        <w:t>La pertinence, l’originalité et la qualité scientifique du projet par rapport aux travaux existants ;</w:t>
      </w:r>
    </w:p>
    <w:p w14:paraId="45FF8942" w14:textId="77777777" w:rsidR="00604124" w:rsidRPr="00087CD1" w:rsidRDefault="004F0268" w:rsidP="00587BD4">
      <w:pPr>
        <w:pStyle w:val="Paragraphedeliste"/>
        <w:numPr>
          <w:ilvl w:val="0"/>
          <w:numId w:val="5"/>
        </w:numPr>
      </w:pPr>
      <w:r w:rsidRPr="00087CD1">
        <w:t>L’adéquation de la méthodologie aux objectifs et aux hypothèses du projet ;</w:t>
      </w:r>
    </w:p>
    <w:p w14:paraId="774183B6" w14:textId="77777777" w:rsidR="00604124" w:rsidRPr="00087CD1" w:rsidRDefault="004F0268" w:rsidP="00587BD4">
      <w:pPr>
        <w:pStyle w:val="Paragraphedeliste"/>
        <w:numPr>
          <w:ilvl w:val="0"/>
          <w:numId w:val="5"/>
        </w:numPr>
      </w:pPr>
      <w:r w:rsidRPr="00087CD1">
        <w:t>La faisabilité du point de vue de l’accès aux données, du calendrier, de la durée du projet ;</w:t>
      </w:r>
    </w:p>
    <w:p w14:paraId="2766DC0C" w14:textId="77777777" w:rsidR="00604124" w:rsidRPr="00087CD1" w:rsidRDefault="004F0268" w:rsidP="00587BD4">
      <w:pPr>
        <w:pStyle w:val="Paragraphedeliste"/>
        <w:numPr>
          <w:ilvl w:val="0"/>
          <w:numId w:val="5"/>
        </w:numPr>
      </w:pPr>
      <w:r w:rsidRPr="00087CD1">
        <w:t>La composition et la qualité de l’équipe projet ;</w:t>
      </w:r>
    </w:p>
    <w:p w14:paraId="301486D0" w14:textId="77777777" w:rsidR="00604124" w:rsidRDefault="004F0268" w:rsidP="00587BD4">
      <w:pPr>
        <w:pStyle w:val="Paragraphedeliste"/>
        <w:numPr>
          <w:ilvl w:val="0"/>
          <w:numId w:val="5"/>
        </w:numPr>
      </w:pPr>
      <w:r w:rsidRPr="00087CD1">
        <w:t>L’adéquation du budget prévisionnel avec le projet.</w:t>
      </w:r>
    </w:p>
    <w:p w14:paraId="38F08C98" w14:textId="77777777" w:rsidR="00207ED8" w:rsidRPr="00207ED8" w:rsidRDefault="00207ED8" w:rsidP="00207ED8">
      <w:pPr>
        <w:spacing w:before="120" w:after="120"/>
        <w:rPr>
          <w:rFonts w:cs="Times New Roman"/>
        </w:rPr>
      </w:pPr>
    </w:p>
    <w:bookmarkEnd w:id="24"/>
    <w:p w14:paraId="47854FC7" w14:textId="689851D8" w:rsidR="00604124" w:rsidRPr="003E3785" w:rsidRDefault="004F0268" w:rsidP="00E456BD">
      <w:pPr>
        <w:rPr>
          <w:rFonts w:cs="Times New Roman"/>
          <w:b/>
          <w:sz w:val="24"/>
          <w:szCs w:val="24"/>
          <w:u w:val="single"/>
        </w:rPr>
      </w:pPr>
      <w:r w:rsidRPr="003E3785">
        <w:rPr>
          <w:rFonts w:cs="Times New Roman"/>
          <w:b/>
          <w:sz w:val="24"/>
          <w:szCs w:val="24"/>
          <w:u w:val="single"/>
        </w:rPr>
        <w:t xml:space="preserve">Les résultats de la sélection des projets seront </w:t>
      </w:r>
      <w:r w:rsidRPr="006D21D6">
        <w:rPr>
          <w:rFonts w:cs="Times New Roman"/>
          <w:b/>
          <w:sz w:val="24"/>
          <w:szCs w:val="24"/>
          <w:u w:val="single"/>
        </w:rPr>
        <w:t xml:space="preserve">communiqués à partir de </w:t>
      </w:r>
      <w:r w:rsidR="00A60E90" w:rsidRPr="006D21D6">
        <w:rPr>
          <w:rFonts w:cs="Times New Roman"/>
          <w:b/>
          <w:sz w:val="24"/>
          <w:szCs w:val="24"/>
          <w:u w:val="single"/>
        </w:rPr>
        <w:t>février 2027</w:t>
      </w:r>
      <w:r w:rsidR="002431A5" w:rsidRPr="006D21D6">
        <w:rPr>
          <w:rFonts w:cs="Times New Roman"/>
          <w:b/>
          <w:sz w:val="24"/>
          <w:szCs w:val="24"/>
          <w:u w:val="single"/>
        </w:rPr>
        <w:t xml:space="preserve"> </w:t>
      </w:r>
      <w:r w:rsidR="005F7013" w:rsidRPr="006D21D6">
        <w:rPr>
          <w:rFonts w:cs="Times New Roman"/>
          <w:b/>
          <w:sz w:val="24"/>
          <w:szCs w:val="24"/>
          <w:u w:val="single"/>
        </w:rPr>
        <w:t>après la délibération du Conseil</w:t>
      </w:r>
      <w:r w:rsidR="002431A5" w:rsidRPr="006D21D6">
        <w:rPr>
          <w:rFonts w:cs="Times New Roman"/>
          <w:b/>
          <w:sz w:val="24"/>
          <w:szCs w:val="24"/>
          <w:u w:val="single"/>
        </w:rPr>
        <w:t xml:space="preserve"> scientifique de sélection</w:t>
      </w:r>
    </w:p>
    <w:p w14:paraId="7725CB56" w14:textId="497B0DF4" w:rsidR="000C08C1" w:rsidRPr="00087CD1" w:rsidRDefault="004F0268" w:rsidP="008F5DE8">
      <w:pPr>
        <w:spacing w:before="240"/>
        <w:rPr>
          <w:rFonts w:cs="Times New Roman"/>
          <w:bCs/>
        </w:rPr>
      </w:pPr>
      <w:r w:rsidRPr="00087CD1">
        <w:rPr>
          <w:rFonts w:cs="Times New Roman"/>
          <w:bCs/>
        </w:rPr>
        <w:t xml:space="preserve">À l’issue de la procédure de sélection, les projets de recherche retenus feront l’objet d’une participation financière, sous la forme d’une subvention de recherche de la part </w:t>
      </w:r>
      <w:r w:rsidRPr="006D21D6">
        <w:rPr>
          <w:rFonts w:cs="Times New Roman"/>
          <w:bCs/>
        </w:rPr>
        <w:t xml:space="preserve">de la </w:t>
      </w:r>
      <w:r w:rsidR="006A193D" w:rsidRPr="006D21D6">
        <w:rPr>
          <w:rFonts w:cs="Times New Roman"/>
        </w:rPr>
        <w:t>Drees</w:t>
      </w:r>
      <w:r w:rsidRPr="006D21D6">
        <w:rPr>
          <w:rFonts w:cs="Times New Roman"/>
          <w:bCs/>
        </w:rPr>
        <w:t>. La</w:t>
      </w:r>
      <w:r w:rsidRPr="00087CD1">
        <w:rPr>
          <w:rFonts w:cs="Times New Roman"/>
          <w:bCs/>
        </w:rPr>
        <w:t xml:space="preserve"> subvention sera allouée à l’organisme porteur du projet pour la réalisation dudit projet.</w:t>
      </w:r>
      <w:r w:rsidR="00ED23DF" w:rsidRPr="00087CD1">
        <w:rPr>
          <w:rFonts w:cs="Times New Roman"/>
          <w:bCs/>
        </w:rPr>
        <w:t xml:space="preserve"> Elle prévoit le versement de 40% de la subvention à la signature de la convention, puis 30% contre la remise du rapport intermédiaire et les 30% restants à la remise du rapport final</w:t>
      </w:r>
      <w:r w:rsidR="002664C3">
        <w:rPr>
          <w:rFonts w:cs="Times New Roman"/>
          <w:bCs/>
        </w:rPr>
        <w:t xml:space="preserve"> et du compte d’emploi des crédits</w:t>
      </w:r>
      <w:r w:rsidR="00F722FA" w:rsidRPr="00087CD1">
        <w:rPr>
          <w:rFonts w:cs="Times New Roman"/>
          <w:bCs/>
        </w:rPr>
        <w:t>.</w:t>
      </w:r>
    </w:p>
    <w:p w14:paraId="579F9107" w14:textId="77777777" w:rsidR="00482906" w:rsidRPr="003E3785" w:rsidRDefault="00482906" w:rsidP="008F5DE8">
      <w:pPr>
        <w:spacing w:before="240"/>
        <w:rPr>
          <w:rFonts w:cs="Times New Roman"/>
          <w:sz w:val="24"/>
          <w:szCs w:val="24"/>
        </w:rPr>
      </w:pPr>
    </w:p>
    <w:tbl>
      <w:tblPr>
        <w:tblStyle w:val="Grilledutableau"/>
        <w:tblW w:w="0" w:type="auto"/>
        <w:tblLook w:val="04A0" w:firstRow="1" w:lastRow="0" w:firstColumn="1" w:lastColumn="0" w:noHBand="0" w:noVBand="1"/>
      </w:tblPr>
      <w:tblGrid>
        <w:gridCol w:w="9062"/>
      </w:tblGrid>
      <w:tr w:rsidR="00482906" w:rsidRPr="003E3785" w14:paraId="25219F10" w14:textId="77777777" w:rsidTr="00482906">
        <w:tc>
          <w:tcPr>
            <w:tcW w:w="9062" w:type="dxa"/>
          </w:tcPr>
          <w:p w14:paraId="1D78249F" w14:textId="1970778F" w:rsidR="001A0989" w:rsidRPr="001A0989" w:rsidRDefault="00482906" w:rsidP="001A0989">
            <w:pPr>
              <w:jc w:val="center"/>
            </w:pPr>
            <w:r w:rsidRPr="001A0989">
              <w:t xml:space="preserve">Renseignements administratifs et scientifiques auprès de : </w:t>
            </w:r>
            <w:hyperlink r:id="rId15" w:history="1">
              <w:r w:rsidR="001A0989" w:rsidRPr="001A0989">
                <w:rPr>
                  <w:rStyle w:val="Lienhypertexte"/>
                </w:rPr>
                <w:t>drees-mire@sante.gouv.fr</w:t>
              </w:r>
            </w:hyperlink>
          </w:p>
        </w:tc>
      </w:tr>
    </w:tbl>
    <w:p w14:paraId="653C8C59" w14:textId="77777777" w:rsidR="00F722FA" w:rsidRPr="003E3785" w:rsidRDefault="00F722FA" w:rsidP="008F5DE8">
      <w:pPr>
        <w:spacing w:before="240"/>
        <w:rPr>
          <w:rFonts w:cs="Times New Roman"/>
          <w:sz w:val="24"/>
          <w:szCs w:val="24"/>
        </w:rPr>
      </w:pPr>
    </w:p>
    <w:p w14:paraId="60524F3F" w14:textId="45126F70" w:rsidR="00604124" w:rsidRPr="003E3785" w:rsidRDefault="004F0268" w:rsidP="008F5DE8">
      <w:pPr>
        <w:spacing w:before="240"/>
        <w:rPr>
          <w:rFonts w:cs="Times New Roman"/>
          <w:sz w:val="24"/>
          <w:szCs w:val="24"/>
        </w:rPr>
      </w:pPr>
      <w:r w:rsidRPr="003E3785">
        <w:rPr>
          <w:rFonts w:cs="Times New Roman"/>
        </w:rPr>
        <w:br w:type="page"/>
      </w:r>
    </w:p>
    <w:p w14:paraId="320BA7EA" w14:textId="4517F40B" w:rsidR="003673F1" w:rsidRPr="003673F1" w:rsidRDefault="00AD7C5D" w:rsidP="00587BD4">
      <w:pPr>
        <w:pStyle w:val="Titre1"/>
        <w:numPr>
          <w:ilvl w:val="0"/>
          <w:numId w:val="2"/>
        </w:numPr>
      </w:pPr>
      <w:bookmarkStart w:id="25" w:name="__RefHeading___Toc1689_2313596743"/>
      <w:bookmarkStart w:id="26" w:name="_heading=h.6z6nig9au9id" w:colFirst="0" w:colLast="0"/>
      <w:bookmarkStart w:id="27" w:name="_Toc238221288"/>
      <w:bookmarkEnd w:id="25"/>
      <w:bookmarkEnd w:id="26"/>
      <w:r w:rsidRPr="003673F1">
        <w:lastRenderedPageBreak/>
        <w:t>Texte d’appel</w:t>
      </w:r>
      <w:r w:rsidR="00944BCB">
        <w:t xml:space="preserve"> –</w:t>
      </w:r>
      <w:r w:rsidR="003673F1">
        <w:t xml:space="preserve"> </w:t>
      </w:r>
      <w:r w:rsidR="00944BCB">
        <w:t>« </w:t>
      </w:r>
      <w:r w:rsidR="003673F1" w:rsidRPr="003673F1">
        <w:t>Requestionner la santé mentale : des souffrances psychiques aux conduites suicidaires</w:t>
      </w:r>
      <w:r w:rsidR="00944BCB">
        <w:t> »</w:t>
      </w:r>
      <w:bookmarkEnd w:id="27"/>
    </w:p>
    <w:p w14:paraId="04357C00" w14:textId="77777777" w:rsidR="003673F1" w:rsidRPr="003673F1" w:rsidRDefault="003673F1" w:rsidP="003673F1">
      <w:pPr>
        <w:rPr>
          <w:highlight w:val="yellow"/>
        </w:rPr>
      </w:pPr>
    </w:p>
    <w:p w14:paraId="06F58305" w14:textId="0C8ABA8E" w:rsidR="00DC4B2F" w:rsidRPr="00DC4B2F" w:rsidRDefault="00DC4B2F" w:rsidP="003673F1">
      <w:pPr>
        <w:pStyle w:val="Titre2"/>
      </w:pPr>
      <w:bookmarkStart w:id="28" w:name="_Toc236324518"/>
      <w:bookmarkStart w:id="29" w:name="_Toc238221289"/>
      <w:bookmarkStart w:id="30" w:name="_Hlk190080754"/>
      <w:r w:rsidRPr="00DC4B2F">
        <w:t>Introduction</w:t>
      </w:r>
      <w:bookmarkEnd w:id="28"/>
      <w:bookmarkEnd w:id="29"/>
    </w:p>
    <w:p w14:paraId="13AFFBE9"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Les questions liées à la santé mentale, à la souffrance psychique et aux troubles afférents ne sont pas récentes, mais elles connaissent depuis quelques années une visibilité nouvelle dans le débat public, portée par des signaux indiquant une détérioration de l’état de santé mentale de la population ou de certains groupes sociaux, par la saturation des dispositifs de prise en charge des troubles et de la souffrance psychique ainsi que par des recompositions dans le périmètre et la façon de penser les enjeux de santé mentale. La santé mentale a ainsi été déclarée Grande cause nationale en France en 2025 puis en 2026, pour souligner l’ampleur du phénomène. </w:t>
      </w:r>
    </w:p>
    <w:p w14:paraId="615FD540"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L’appel à projets de recherche (APR) vise à faire émerger des connaissances susceptibles d’éclairer les évolutions contemporaines de la santé mentale des populations ainsi que celles liées aux représentations du concept même de santé mentale et de nourrir la prise en charge et les actions de prévention, tout en contribuant à soutenir l’attention des sciences humaines et sociales sur ces enjeux sociaux et sanitaires majeurs.</w:t>
      </w:r>
    </w:p>
    <w:p w14:paraId="3484D1E7"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Une fois exposés quelques éléments de définition permettant de circonscrire le périmètre de cet APR et des dimensions transversales à l’ensemble des axes de réflexion proposés, trois angles de recherche susceptibles d’orienter l’élaboration des contributions sont proposés.</w:t>
      </w:r>
    </w:p>
    <w:p w14:paraId="3FB2E324"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31" w:name="_Toc236324519"/>
      <w:r w:rsidRPr="00DC4B2F">
        <w:rPr>
          <w:rFonts w:eastAsia="Times New Roman" w:cs="Times New Roman"/>
          <w:b/>
          <w:bCs/>
          <w:color w:val="000000"/>
          <w:kern w:val="2"/>
          <w:sz w:val="28"/>
          <w:szCs w:val="28"/>
          <w14:ligatures w14:val="standardContextual"/>
        </w:rPr>
        <w:t>Les différentes acceptions de la santé mentale</w:t>
      </w:r>
      <w:bookmarkEnd w:id="31"/>
    </w:p>
    <w:p w14:paraId="4CC0BA7D" w14:textId="780C74F5"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La notion de santé mentale recouvre un spectre très large de définitions. Au niveau national, celle retenue par le ministère de la Santé et Santé publique France s’appuie sur deux dimensions. La première est constituée de la santé mentale souvent qualifiée de « positive » qui s’entend comme l’épanouissement personnel, le bien-être, les ressources psychologiques et les capacités d’agir de l’individu dans ses différents rôles sociaux, notamment pour faire face à l’adversité. Elle peut être « florissante » ou, au contraire, dégradée (Keyes, 2002). C’est notamment le cas lors d’une détresse psychologique réactionnelle induite par des événements de vie tels qu’un accident, une agression, un deuil ou des conditions de vie précaires ou particulièrement difficiles. Elle n’est pas nécessairement révélatrice d’un trouble mental et les symptômes, le plus souvent anxieux ou dépressifs, peuvent être passagers. La deuxième dimension correspond à des troubles ou maladies psychiatriques et renvoie à la présence d’un diagnostic ou a minima d’un besoin de soins. Ces troubles sont plus ou moins sévères, chroniques ou invalidants et relèvent d’une prise en charge. Leur définition est tout autant soumise à controverses que celle de santé mentale et le Manuel diagnostique </w:t>
      </w:r>
      <w:r w:rsidR="00944BCB">
        <w:rPr>
          <w:rFonts w:eastAsia="Aptos" w:cs="Times New Roman"/>
          <w:kern w:val="2"/>
          <w:sz w:val="24"/>
          <w:szCs w:val="24"/>
          <w14:ligatures w14:val="standardContextual"/>
        </w:rPr>
        <w:t>et statistique des troubles mentaux</w:t>
      </w:r>
      <w:r w:rsidRPr="00DC4B2F">
        <w:rPr>
          <w:rFonts w:eastAsia="Aptos" w:cs="Times New Roman"/>
          <w:kern w:val="2"/>
          <w:sz w:val="24"/>
          <w:szCs w:val="24"/>
          <w14:ligatures w14:val="standardContextual"/>
        </w:rPr>
        <w:t xml:space="preserve"> (DSM) reconnait qu’aucune définition n’est capable de couvrir l’entièreté de la notion de troubles mentaux…</w:t>
      </w:r>
    </w:p>
    <w:p w14:paraId="18BF2228" w14:textId="0C0B63D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Cette approche à deux dimensions présente plusieurs intérêts. Elle couvre un spectre très large d’états vécus par les personnes envisagées dans leur environnement social ; elle met en outre l’accent sur les dynamiques enclenchées par les événements traversés, dont certains peuvent être appréhendés comme déclencheurs de troubles graves, d’autres comme aggravants des états déjà vulnérables. Surtout, elle porte en creux la possibilité du rétablissement, caractérisé notamment par une bonne santé mentale chez un porteur de trouble</w:t>
      </w:r>
      <w:r w:rsidR="007009C4">
        <w:rPr>
          <w:rFonts w:eastAsia="Aptos" w:cs="Times New Roman"/>
          <w:kern w:val="2"/>
          <w:sz w:val="24"/>
          <w:szCs w:val="24"/>
          <w14:ligatures w14:val="standardContextual"/>
        </w:rPr>
        <w:t>(s)</w:t>
      </w:r>
      <w:r w:rsidRPr="00DC4B2F">
        <w:rPr>
          <w:rFonts w:eastAsia="Aptos" w:cs="Times New Roman"/>
          <w:kern w:val="2"/>
          <w:sz w:val="24"/>
          <w:szCs w:val="24"/>
          <w14:ligatures w14:val="standardContextual"/>
        </w:rPr>
        <w:t xml:space="preserve"> psychiatrique</w:t>
      </w:r>
      <w:r w:rsidR="007009C4">
        <w:rPr>
          <w:rFonts w:eastAsia="Aptos" w:cs="Times New Roman"/>
          <w:kern w:val="2"/>
          <w:sz w:val="24"/>
          <w:szCs w:val="24"/>
          <w14:ligatures w14:val="standardContextual"/>
        </w:rPr>
        <w:t>(s)</w:t>
      </w:r>
      <w:r w:rsidRPr="00DC4B2F">
        <w:rPr>
          <w:rFonts w:eastAsia="Aptos" w:cs="Times New Roman"/>
          <w:kern w:val="2"/>
          <w:sz w:val="24"/>
          <w:szCs w:val="24"/>
          <w14:ligatures w14:val="standardContextual"/>
        </w:rPr>
        <w:t xml:space="preserve"> chronique</w:t>
      </w:r>
      <w:r w:rsidR="007009C4">
        <w:rPr>
          <w:rFonts w:eastAsia="Aptos" w:cs="Times New Roman"/>
          <w:kern w:val="2"/>
          <w:sz w:val="24"/>
          <w:szCs w:val="24"/>
          <w14:ligatures w14:val="standardContextual"/>
        </w:rPr>
        <w:t>(s)</w:t>
      </w:r>
      <w:r w:rsidRPr="00DC4B2F">
        <w:rPr>
          <w:rFonts w:eastAsia="Aptos" w:cs="Times New Roman"/>
          <w:kern w:val="2"/>
          <w:sz w:val="24"/>
          <w:szCs w:val="24"/>
          <w14:ligatures w14:val="standardContextual"/>
        </w:rPr>
        <w:t xml:space="preserve">. Et elle reconnait l’existence de déterminants sociaux de la santé mentale : organisation du travail, expérience de la précarité, inégalités sociales, discriminations, agressions, etc. Cette approche de la santé mentale tente ainsi de tenir l’équilibre entre les expériences individuelles </w:t>
      </w:r>
      <w:r w:rsidRPr="00DC4B2F">
        <w:rPr>
          <w:rFonts w:eastAsia="Aptos" w:cs="Times New Roman"/>
          <w:kern w:val="2"/>
          <w:sz w:val="24"/>
          <w:szCs w:val="24"/>
          <w14:ligatures w14:val="standardContextual"/>
        </w:rPr>
        <w:lastRenderedPageBreak/>
        <w:t>de la détresse psychique et des troubles mentaux et la responsabilité collective et sociale de la santé mentale.</w:t>
      </w:r>
    </w:p>
    <w:p w14:paraId="778E1CB7"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Les définitions issues d’institutions de santé publique et la multitude de catégories diagnostiques qui classent les symptômes et les atteintes psychiques, de même que la multiplicité et l’entrelacement des déterminants de la santé mentale, confèrent nécessairement un caractère inachevé ou incomplet à toute tentative de définition exhaustive des phénomènes considérés (voir encadré 1).</w:t>
      </w:r>
    </w:p>
    <w:p w14:paraId="21F07D90"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p>
    <w:tbl>
      <w:tblPr>
        <w:tblStyle w:val="Grilledutableau1"/>
        <w:tblW w:w="0" w:type="auto"/>
        <w:tblLook w:val="04A0" w:firstRow="1" w:lastRow="0" w:firstColumn="1" w:lastColumn="0" w:noHBand="0" w:noVBand="1"/>
      </w:tblPr>
      <w:tblGrid>
        <w:gridCol w:w="9062"/>
      </w:tblGrid>
      <w:tr w:rsidR="00DC4B2F" w:rsidRPr="00DC4B2F" w14:paraId="1C6B2333" w14:textId="77777777" w:rsidTr="00601856">
        <w:trPr>
          <w:cantSplit/>
        </w:trPr>
        <w:tc>
          <w:tcPr>
            <w:tcW w:w="9062" w:type="dxa"/>
          </w:tcPr>
          <w:p w14:paraId="220DB224" w14:textId="77777777" w:rsidR="00DC4B2F" w:rsidRPr="00DC4B2F" w:rsidRDefault="00DC4B2F" w:rsidP="00DC4B2F">
            <w:pPr>
              <w:spacing w:after="120" w:line="240" w:lineRule="auto"/>
              <w:rPr>
                <w:b/>
                <w:bCs/>
                <w:sz w:val="24"/>
                <w:szCs w:val="24"/>
              </w:rPr>
            </w:pPr>
            <w:r w:rsidRPr="00DC4B2F">
              <w:rPr>
                <w:b/>
                <w:bCs/>
                <w:sz w:val="24"/>
                <w:szCs w:val="24"/>
              </w:rPr>
              <w:t>Encadré 1. Positionnement face à la multitude de notions et de catégories de la santé mentale</w:t>
            </w:r>
          </w:p>
          <w:p w14:paraId="0277C4BB" w14:textId="77777777" w:rsidR="00DC4B2F" w:rsidRPr="00DC4B2F" w:rsidRDefault="00DC4B2F" w:rsidP="00DC4B2F">
            <w:pPr>
              <w:spacing w:line="240" w:lineRule="auto"/>
              <w:rPr>
                <w:sz w:val="24"/>
                <w:szCs w:val="24"/>
              </w:rPr>
            </w:pPr>
            <w:r w:rsidRPr="00DC4B2F">
              <w:rPr>
                <w:sz w:val="24"/>
                <w:szCs w:val="24"/>
              </w:rPr>
              <w:t>Dans ce champ, marqué par d’importantes variations selon les disciplines, les contextes et les périodes historiques, coexistent plusieurs termes pour désigner des concepts, expériences ou des réalités proches, parfois imbriquées : anxiété, angoisse, dépression, troubles (mentaux, psychiques, anxio-dépressifs, etc.), syndromes ou épisodes dépressifs, idées suicidaires, gestes suicidaires, souffrance psychique, souffrance psychosociale, souffrance sociale ou encore dégradation de la santé mentale.</w:t>
            </w:r>
          </w:p>
          <w:p w14:paraId="47C2EF82" w14:textId="77777777" w:rsidR="00DC4B2F" w:rsidRPr="00DC4B2F" w:rsidRDefault="00DC4B2F" w:rsidP="00DC4B2F">
            <w:pPr>
              <w:spacing w:line="240" w:lineRule="auto"/>
              <w:rPr>
                <w:sz w:val="24"/>
                <w:szCs w:val="24"/>
              </w:rPr>
            </w:pPr>
            <w:r w:rsidRPr="00DC4B2F">
              <w:rPr>
                <w:sz w:val="24"/>
                <w:szCs w:val="24"/>
              </w:rPr>
              <w:t>Le présent appel à projets de recherche ne tranche pas a priori parmi cette pluralité terminologique – raison pour laquelle la notion, large et ouverte, de « souffrance psychique » a été retenue dans son titre – afin de laisser aux équipes la possibilité d’adopter la catégorisation qui leur semble la plus pertinente pour leur objet et les méthodes à leur disposition. Les projets sont néanmoins invités à expliciter leur positionnement épistémologique et à définir les notions et catégories retenues au regard de leurs objectifs de recherche.</w:t>
            </w:r>
          </w:p>
        </w:tc>
      </w:tr>
    </w:tbl>
    <w:p w14:paraId="55322541"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p>
    <w:p w14:paraId="7FCC249F"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32" w:name="_Toc236324520"/>
      <w:r w:rsidRPr="00DC4B2F">
        <w:rPr>
          <w:rFonts w:eastAsia="Times New Roman" w:cs="Times New Roman"/>
          <w:b/>
          <w:bCs/>
          <w:color w:val="000000"/>
          <w:kern w:val="2"/>
          <w:sz w:val="28"/>
          <w:szCs w:val="28"/>
          <w14:ligatures w14:val="standardContextual"/>
        </w:rPr>
        <w:t>L’évolution historique des représentations de la santé mentale</w:t>
      </w:r>
      <w:bookmarkEnd w:id="32"/>
    </w:p>
    <w:p w14:paraId="55A5EB2F" w14:textId="1292F10E"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Les travaux académiques montrent les évolutions importantes de la prise en charge de la maladie mentale. Au 19</w:t>
      </w:r>
      <w:r w:rsidRPr="00DC4B2F">
        <w:rPr>
          <w:rFonts w:eastAsia="Aptos" w:cs="Times New Roman"/>
          <w:kern w:val="2"/>
          <w:sz w:val="24"/>
          <w:szCs w:val="24"/>
          <w:vertAlign w:val="superscript"/>
          <w14:ligatures w14:val="standardContextual"/>
        </w:rPr>
        <w:t>e</w:t>
      </w:r>
      <w:r w:rsidRPr="00DC4B2F">
        <w:rPr>
          <w:rFonts w:eastAsia="Aptos" w:cs="Times New Roman"/>
          <w:kern w:val="2"/>
          <w:sz w:val="24"/>
          <w:szCs w:val="24"/>
          <w14:ligatures w14:val="standardContextual"/>
        </w:rPr>
        <w:t> siècle, l’hôpital constituait l’institution dominante qui traitait les patients. Son fonctionnement s’appuyait sur une logique asilaire où il fallait isoler et enfermer pour pouvoir soigner.</w:t>
      </w:r>
    </w:p>
    <w:p w14:paraId="593C5AFD"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Ces logiques ont commencé à s’éroder au mitant du 20</w:t>
      </w:r>
      <w:r w:rsidRPr="00DC4B2F">
        <w:rPr>
          <w:rFonts w:eastAsia="Aptos" w:cs="Times New Roman"/>
          <w:kern w:val="2"/>
          <w:sz w:val="24"/>
          <w:szCs w:val="24"/>
          <w:vertAlign w:val="superscript"/>
          <w14:ligatures w14:val="standardContextual"/>
        </w:rPr>
        <w:t>e</w:t>
      </w:r>
      <w:r w:rsidRPr="00DC4B2F">
        <w:rPr>
          <w:rFonts w:eastAsia="Aptos" w:cs="Times New Roman"/>
          <w:kern w:val="2"/>
          <w:sz w:val="24"/>
          <w:szCs w:val="24"/>
          <w14:ligatures w14:val="standardContextual"/>
        </w:rPr>
        <w:t> siècle. Concomitamment à la découverte des neuroleptiques émergent des mouvements antipsychiatriques et désaliénistes très critiques envers l’institutionnalisation permanente des patients et les pratiques psychiatriques coercitives (Henckes et Majerus, 2022). Ces avancées vont modifier les pratiques, notamment de déshospitalisation, et au niveau juridique se traduire par une redéfinition des mécanismes de prise en charge, en particulier avec la mise en place de la sectorisation psychiatrique par la circulaire du 15 mars 1960. Ces transformations sont à l’origine de multiples changements : de nouveaux espaces de soins sont investis, les rapports patients</w:t>
      </w:r>
      <w:r w:rsidRPr="00DC4B2F">
        <w:rPr>
          <w:rFonts w:eastAsia="Aptos" w:cs="Times New Roman"/>
          <w:kern w:val="2"/>
          <w:sz w:val="24"/>
          <w:szCs w:val="24"/>
          <w14:ligatures w14:val="standardContextual"/>
        </w:rPr>
        <w:noBreakHyphen/>
        <w:t>soignants se transforment, les représentations et les catégories évoluent, etc.</w:t>
      </w:r>
    </w:p>
    <w:p w14:paraId="7B7B91D8"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Les décennies qui vont suivre vont être marquées par un virage ambulatoire progressif, irrégulièrement mené sur le territoire. Se développe également une importante variabilité des pratiques de soins et des approches théoriques selon les organisations psychiatriques (Coldefy et le Neindre, 2014). Plus récemment, la psychiatrie a connu des évolutions liées notamment à de nouveaux modes de financement qui ont eu des effets directs sur l’organisation des soins, les patients et les professionnels (psychiatres, infirmières, etc.) (Tartour, 2021).</w:t>
      </w:r>
    </w:p>
    <w:p w14:paraId="4E9707ED" w14:textId="5621395B"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Par ailleurs, le champ couvert par la notion de santé mentale s’est progressivement étendu et la psychiatrie a investi une palette plus large de causes à l’origine de la souffrance psychique, opérant à ce titre un basculement de la perspective : le traitement de la maladie mentale s’est </w:t>
      </w:r>
      <w:r w:rsidRPr="00DC4B2F">
        <w:rPr>
          <w:rFonts w:eastAsia="Aptos" w:cs="Times New Roman"/>
          <w:kern w:val="2"/>
          <w:sz w:val="24"/>
          <w:szCs w:val="24"/>
          <w14:ligatures w14:val="standardContextual"/>
        </w:rPr>
        <w:lastRenderedPageBreak/>
        <w:t>transformé en prise en charge de la santé mentale, moins focalisée sur la guérison proprement dite que sur le rétablissement et la prévention (Coutant et Wang, 2018). En parallèle, d’importants progrès dans le domaine de la réhabilitation psycho-sociale et de la psychoéducation des personnes concernées ont été réalisés : les programmes « Un chez soi d’abord » ou encore le développement de directives anticipées en psychiatrie en sont des exemples parmi d’autres. Ainsi autour du médecin-psychiatre ont émergé de nouveaux professionnels et d’autres se sont dotés d’une plus grande légitimité : infirmiers de pratiques avancées, psychologues</w:t>
      </w:r>
      <w:r w:rsidR="00D97FC0">
        <w:rPr>
          <w:rFonts w:eastAsia="Aptos" w:cs="Times New Roman"/>
          <w:kern w:val="2"/>
          <w:sz w:val="24"/>
          <w:szCs w:val="24"/>
          <w14:ligatures w14:val="standardContextual"/>
        </w:rPr>
        <w:t xml:space="preserve">, </w:t>
      </w:r>
      <w:r w:rsidR="00D97FC0" w:rsidRPr="00DC4B2F">
        <w:rPr>
          <w:rFonts w:eastAsia="Aptos" w:cs="Times New Roman"/>
          <w:kern w:val="2"/>
          <w:sz w:val="24"/>
          <w:szCs w:val="24"/>
          <w14:ligatures w14:val="standardContextual"/>
        </w:rPr>
        <w:t>pairs-aidants</w:t>
      </w:r>
      <w:r w:rsidR="00D97FC0">
        <w:rPr>
          <w:rFonts w:eastAsia="Aptos" w:cs="Times New Roman"/>
          <w:kern w:val="2"/>
          <w:sz w:val="24"/>
          <w:szCs w:val="24"/>
          <w14:ligatures w14:val="standardContextual"/>
        </w:rPr>
        <w:t xml:space="preserve"> </w:t>
      </w:r>
      <w:r w:rsidRPr="00DC4B2F">
        <w:rPr>
          <w:rFonts w:eastAsia="Aptos" w:cs="Times New Roman"/>
          <w:kern w:val="2"/>
          <w:sz w:val="24"/>
          <w:szCs w:val="24"/>
          <w14:ligatures w14:val="standardContextual"/>
        </w:rPr>
        <w:t>ou encore éducateurs spécialisés.</w:t>
      </w:r>
    </w:p>
    <w:p w14:paraId="1317DDB3"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Dès la fin des années 70, Robert et Françoise Castel, accompagnés d’Anne Lovell, dégageaient trois positionnements successifs de la psychiatrie américaine et, à travers cette évolution, mettaient en lumière la place croissante accordée à la santé mentale dans la société. Tour à tour, la psychiatrie a donc d’abord tenté de guérir ou traiter les patients dans l’asile, avec une logique de réparation. Ensuite, elle a opéré un basculement vers la prévention en intervenant auprès de publics spécifiques avec le développement de l’ambulatoire qui implique la surveillance et le suivi des populations à risque hors les murs. Les auteurs pointaient que ce progrès porte en germe le risque de l’extension du contrôle psychologique des populations non malades. Ce glissement a préparé le terrain à une troisième étape consistant en une extension normative de la psychiatrie à l’ensemble de la société et participant par la psychologisation généralisée à la définition et à la correction des comportements et de leurs déviances. Cette ultime étape est interprétée par Castel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comme s’inscrivant dans le cadre d’un changement majeur de la société où l’ensemble des comportements individuels seraient soumis à une nouvelle norme d’efficience, portée par de nouveaux outils de gestion et une idéologie du contrôle encastrée dans le capitalisme (Castel, 1981). Parvenir à une « bonne » orientation de la santé mentale des individus constituerait une dimension de ce nouveau mode de régulation sociale. </w:t>
      </w:r>
    </w:p>
    <w:p w14:paraId="15A0E443"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Ces travaux trouvent également un écho dans certaines critiques actuelles de l’utilisation de la notion de santé mentale qui servirait à vider la dimension soignante et émancipatrice de la psychiatrie au service d’une logique de contrôle normatif du bien-être (Bellahsen et Knaebel, 2020). D’autres voient dans les travaux de Castel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l’anticipation des méfaits de la psychologie positive et du développement personnel qui portent en creux l’écrasante responsabilité de l’individu dans sa réussite personnelle et sa santé mentale (Martin, 2024). À ce titre, les travaux d’Ehrenberg dans la </w:t>
      </w:r>
      <w:r w:rsidRPr="00DC4B2F">
        <w:rPr>
          <w:rFonts w:eastAsia="Aptos" w:cs="Times New Roman"/>
          <w:i/>
          <w:iCs/>
          <w:kern w:val="2"/>
          <w:sz w:val="24"/>
          <w:szCs w:val="24"/>
          <w14:ligatures w14:val="standardContextual"/>
        </w:rPr>
        <w:t>Fatigue d’être soi</w:t>
      </w:r>
      <w:r w:rsidRPr="00DC4B2F">
        <w:rPr>
          <w:rFonts w:eastAsia="Aptos" w:cs="Times New Roman"/>
          <w:kern w:val="2"/>
          <w:sz w:val="24"/>
          <w:szCs w:val="24"/>
          <w14:ligatures w14:val="standardContextual"/>
        </w:rPr>
        <w:t xml:space="preserve"> (1998) établissant la dépression comme un marqueur sociétal de l’extension du registre de la psy au plus grand nombre, semble accréditer ces analyses. Il serait toutefois utile de réactualiser les analyses en ce sens en tenant compte des transformations les plus récentes.</w:t>
      </w:r>
    </w:p>
    <w:p w14:paraId="586195B6"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D’autres évolutions ont conduit et accompagné une extension du champ de l’intervention en santé mentale, sans nécessairement s’inscrire dans une perspective de réorientation des conduites ou des normes des personnes affectées : Didier Fassin et Richard Rechtman (2007) ont ainsi proposé d’appréhender la notion de traumatisme psychique comme étant la réinvention d’une catégorie de la santé mentale, adossée aux notions d’exposition à la violence et de souffrance psychique. Or « […] avec la souffrance, le normal entre dans le champ de la santé mentale : les chômeurs et les précaires ne sont pas des malades ; les troubles psychiques qui les affectent représentent la réponse adaptée à leur situation socio-économique. » (Fassin, 2006). Cette apparition de la notion de traumatisme est une innovation avant tout sociale qui comporte deux aspects. En premier lieu, elle opère une redéfinition de la santé mentale, justifiant des interventions des psychologues et des psychiatres sur des terrains dont ils étaient jusqu’alors absents et amène en retour de nouveaux acteurs ou organisations à être concernés par cette prise en charge. En second lieu, elle permet sa réappropriation dans le langage ordinaire et dans le champ de l’action publique, notamment pour prendre soin des victimes ou défendre leurs droits. </w:t>
      </w:r>
      <w:r w:rsidRPr="00DC4B2F">
        <w:rPr>
          <w:rFonts w:eastAsia="Aptos" w:cs="Times New Roman"/>
          <w:kern w:val="2"/>
          <w:sz w:val="24"/>
          <w:szCs w:val="24"/>
          <w14:ligatures w14:val="standardContextual"/>
        </w:rPr>
        <w:lastRenderedPageBreak/>
        <w:t>Dans cette perspective, ces travaux soulignent « l’importance de saisir le passage de cette catégorie [le traumatisme] dans l’espace social, comprendre comment les acteurs s’en servent et comment elle redéfinit les modalités d’intervention et de justification autour de celles et ceux que l’on considère comme les victimes de l’événement traumatisant » (</w:t>
      </w:r>
      <w:r w:rsidRPr="00DC4B2F">
        <w:rPr>
          <w:rFonts w:eastAsia="Aptos" w:cs="Times New Roman"/>
          <w:i/>
          <w:iCs/>
          <w:kern w:val="2"/>
          <w:sz w:val="24"/>
          <w:szCs w:val="24"/>
          <w14:ligatures w14:val="standardContextual"/>
        </w:rPr>
        <w:t>ibid</w:t>
      </w:r>
      <w:r w:rsidRPr="00DC4B2F">
        <w:rPr>
          <w:rFonts w:eastAsia="Aptos" w:cs="Times New Roman"/>
          <w:kern w:val="2"/>
          <w:sz w:val="24"/>
          <w:szCs w:val="24"/>
          <w14:ligatures w14:val="standardContextual"/>
        </w:rPr>
        <w:t>.).</w:t>
      </w:r>
    </w:p>
    <w:p w14:paraId="32B949E0"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Le cadre juridique s’est quant à lui adapté à ces mutations de la notion de santé mentale : la loi de 2005 a reconnu l’existence du handicap psychique consécutif aux manifestations des troubles psychiques dans la vie quotidienne. Cela vient prendre en compte le caractère instable, évolutif et souvent invisible des états vécus qui requièrent des prestations et interventions adaptées (Auvergnon, 2012). Au passage, cela met l’accent sur l’interaction entre la personne et son environnement dans l’émergence des limitations d’autonomie.</w:t>
      </w:r>
    </w:p>
    <w:p w14:paraId="0953D94A" w14:textId="312A6220"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Plusieurs travaux soulignent le caractère socialement construit des catégorisations et de la reconnaissance des différents types de handicap psychique, cognitif et mental, illustrant par conséquent un brouillage des frontières (Béliard et Eideliman, 2009)</w:t>
      </w:r>
      <w:r w:rsidRPr="00DC4B2F">
        <w:rPr>
          <w:rFonts w:eastAsia="Aptos" w:cs="Times New Roman"/>
          <w:kern w:val="2"/>
          <w:sz w:val="24"/>
          <w:szCs w:val="24"/>
          <w:vertAlign w:val="superscript"/>
          <w14:ligatures w14:val="standardContextual"/>
        </w:rPr>
        <w:footnoteReference w:id="1"/>
      </w:r>
      <w:r w:rsidRPr="00DC4B2F">
        <w:rPr>
          <w:rFonts w:eastAsia="Aptos" w:cs="Times New Roman"/>
          <w:kern w:val="2"/>
          <w:sz w:val="24"/>
          <w:szCs w:val="24"/>
          <w14:ligatures w14:val="standardContextual"/>
        </w:rPr>
        <w:t>. Ce phénomène est amplifié par le caractère socialement différentié des représentations de la santé mentale selon les classes sociales, le genre, les origines ethniques et raciales, etc. Plus récemment, une nouvelle diffusion de la notion de santé mentale apparait, accélérée par la pandémie de Covid-19</w:t>
      </w:r>
      <w:r w:rsidRPr="00DC4B2F">
        <w:rPr>
          <w:rFonts w:eastAsia="Aptos" w:cs="Times New Roman"/>
          <w:kern w:val="2"/>
          <w:sz w:val="24"/>
          <w:szCs w:val="24"/>
          <w:vertAlign w:val="superscript"/>
          <w14:ligatures w14:val="standardContextual"/>
        </w:rPr>
        <w:footnoteReference w:id="2"/>
      </w:r>
      <w:r w:rsidRPr="00DC4B2F">
        <w:rPr>
          <w:rFonts w:eastAsia="Aptos" w:cs="Times New Roman"/>
          <w:kern w:val="2"/>
          <w:sz w:val="24"/>
          <w:szCs w:val="24"/>
          <w14:ligatures w14:val="standardContextual"/>
        </w:rPr>
        <w:t>. La pandémie a agi comme un élément de cristallisation des enjeux et d’extension du domaine de la santé mentale à des espaces sociaux restés jusqu’ici à l’écart de ces questionnements (Maignan, 2026)</w:t>
      </w:r>
      <w:r w:rsidRPr="00DC4B2F">
        <w:rPr>
          <w:rFonts w:eastAsia="Aptos" w:cs="Times New Roman"/>
          <w:kern w:val="2"/>
          <w:sz w:val="24"/>
          <w:szCs w:val="24"/>
          <w:vertAlign w:val="superscript"/>
          <w14:ligatures w14:val="standardContextual"/>
        </w:rPr>
        <w:footnoteReference w:id="3"/>
      </w:r>
      <w:r w:rsidRPr="00DC4B2F">
        <w:rPr>
          <w:rFonts w:eastAsia="Aptos" w:cs="Times New Roman"/>
          <w:kern w:val="2"/>
          <w:sz w:val="24"/>
          <w:szCs w:val="24"/>
          <w14:ligatures w14:val="standardContextual"/>
        </w:rPr>
        <w:t>.</w:t>
      </w:r>
    </w:p>
    <w:p w14:paraId="70C3A739"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L’ensemble de ces transformations contemporaines</w:t>
      </w:r>
      <w:r w:rsidRPr="00DC4B2F">
        <w:rPr>
          <w:rFonts w:eastAsia="Aptos" w:cs="Times New Roman"/>
          <w:kern w:val="2"/>
          <w:sz w:val="24"/>
          <w:szCs w:val="24"/>
          <w:vertAlign w:val="superscript"/>
          <w14:ligatures w14:val="standardContextual"/>
        </w:rPr>
        <w:footnoteReference w:id="4"/>
      </w:r>
      <w:r w:rsidRPr="00DC4B2F">
        <w:rPr>
          <w:rFonts w:eastAsia="Aptos" w:cs="Times New Roman"/>
          <w:kern w:val="2"/>
          <w:sz w:val="24"/>
          <w:szCs w:val="24"/>
          <w14:ligatures w14:val="standardContextual"/>
        </w:rPr>
        <w:t>, rapidement esquissées ici, incite donc à proposer un réexamen de la façon dont la souffrance psychique est socialement appréhendée et prise en charge sur courte, moyenne ou longue période.</w:t>
      </w:r>
    </w:p>
    <w:p w14:paraId="389906B4"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33" w:name="_Toc236324521"/>
      <w:r w:rsidRPr="00DC4B2F">
        <w:rPr>
          <w:rFonts w:eastAsia="Times New Roman" w:cs="Times New Roman"/>
          <w:b/>
          <w:bCs/>
          <w:color w:val="000000"/>
          <w:kern w:val="2"/>
          <w:sz w:val="28"/>
          <w:szCs w:val="28"/>
          <w14:ligatures w14:val="standardContextual"/>
        </w:rPr>
        <w:t xml:space="preserve">Analyser les dégradations de la santé mentale sur un </w:t>
      </w:r>
      <w:r w:rsidRPr="00DC4B2F">
        <w:rPr>
          <w:rFonts w:eastAsia="Times New Roman" w:cs="Times New Roman"/>
          <w:b/>
          <w:bCs/>
          <w:i/>
          <w:iCs/>
          <w:color w:val="000000"/>
          <w:kern w:val="2"/>
          <w:sz w:val="28"/>
          <w:szCs w:val="28"/>
          <w14:ligatures w14:val="standardContextual"/>
        </w:rPr>
        <w:t>continuum</w:t>
      </w:r>
      <w:r w:rsidRPr="00DC4B2F">
        <w:rPr>
          <w:rFonts w:eastAsia="Times New Roman" w:cs="Times New Roman"/>
          <w:b/>
          <w:bCs/>
          <w:color w:val="000000"/>
          <w:kern w:val="2"/>
          <w:sz w:val="28"/>
          <w:szCs w:val="28"/>
          <w14:ligatures w14:val="standardContextual"/>
        </w:rPr>
        <w:t xml:space="preserve"> d’atteintes</w:t>
      </w:r>
      <w:bookmarkEnd w:id="33"/>
    </w:p>
    <w:p w14:paraId="61A2FD8E"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Cet appel à projets de recherche s’attache à la production de connaissances originales dans le </w:t>
      </w:r>
      <w:bookmarkStart w:id="34" w:name="_Hlk233123882"/>
      <w:r w:rsidRPr="00DC4B2F">
        <w:rPr>
          <w:rFonts w:eastAsia="Aptos" w:cs="Times New Roman"/>
          <w:kern w:val="2"/>
          <w:sz w:val="24"/>
          <w:szCs w:val="24"/>
          <w14:ligatures w14:val="standardContextual"/>
        </w:rPr>
        <w:t xml:space="preserve">domaine des souffrances psychiques </w:t>
      </w:r>
      <w:bookmarkEnd w:id="34"/>
      <w:r w:rsidRPr="00DC4B2F">
        <w:rPr>
          <w:rFonts w:eastAsia="Aptos" w:cs="Times New Roman"/>
          <w:kern w:val="2"/>
          <w:sz w:val="24"/>
          <w:szCs w:val="24"/>
          <w14:ligatures w14:val="standardContextual"/>
        </w:rPr>
        <w:t>et des conduites suicidaires, en retenant le terme de « souffrances psychiques » pour évoquer des atteintes à la santé mentale, sans les restreindre à un périmètre diagnostic particulier ni à des atteintes reconnues comme pathologiques par des professionnels de soin. Nous proposons également aux projets de s’inscrire dans un continuum allant de l’existence d’une souffrance psychique perçue jusqu’aux idées et conduites suicidaires (voir encadré 2).</w:t>
      </w:r>
    </w:p>
    <w:p w14:paraId="44E62C71"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p>
    <w:tbl>
      <w:tblPr>
        <w:tblStyle w:val="Grilledutableau1"/>
        <w:tblW w:w="0" w:type="auto"/>
        <w:tblLook w:val="04A0" w:firstRow="1" w:lastRow="0" w:firstColumn="1" w:lastColumn="0" w:noHBand="0" w:noVBand="1"/>
      </w:tblPr>
      <w:tblGrid>
        <w:gridCol w:w="9062"/>
      </w:tblGrid>
      <w:tr w:rsidR="00DC4B2F" w:rsidRPr="00DC4B2F" w14:paraId="3E6C4F84" w14:textId="77777777" w:rsidTr="00601856">
        <w:trPr>
          <w:cantSplit/>
        </w:trPr>
        <w:tc>
          <w:tcPr>
            <w:tcW w:w="9062" w:type="dxa"/>
          </w:tcPr>
          <w:p w14:paraId="4D43CE8E" w14:textId="77777777" w:rsidR="00DC4B2F" w:rsidRPr="00DC4B2F" w:rsidRDefault="00DC4B2F" w:rsidP="00DC4B2F">
            <w:pPr>
              <w:spacing w:after="120" w:line="240" w:lineRule="auto"/>
              <w:rPr>
                <w:b/>
                <w:bCs/>
                <w:sz w:val="24"/>
                <w:szCs w:val="24"/>
              </w:rPr>
            </w:pPr>
            <w:r w:rsidRPr="00DC4B2F">
              <w:rPr>
                <w:b/>
                <w:bCs/>
                <w:sz w:val="24"/>
                <w:szCs w:val="24"/>
              </w:rPr>
              <w:lastRenderedPageBreak/>
              <w:t>Encadré 2. Périmètre des phénomènes suicidaires</w:t>
            </w:r>
          </w:p>
          <w:p w14:paraId="3D57FFD1" w14:textId="77777777" w:rsidR="00DC4B2F" w:rsidRPr="00DC4B2F" w:rsidRDefault="00DC4B2F" w:rsidP="00DC4B2F">
            <w:pPr>
              <w:spacing w:after="120" w:line="240" w:lineRule="auto"/>
              <w:rPr>
                <w:sz w:val="24"/>
                <w:szCs w:val="24"/>
              </w:rPr>
            </w:pPr>
            <w:r w:rsidRPr="00DC4B2F">
              <w:rPr>
                <w:sz w:val="24"/>
                <w:szCs w:val="24"/>
              </w:rPr>
              <w:t>Il est possible de considérer que les comportements suicidaires sont de trois ordres. Premièrement, l’idéation suicidaire qui consiste en des flashs, des fantasmes ou des pensées autour du fait de mourir et de se donner la mort. Deuxièmement, les gestes auto-infligés (GAI) sont des blessures ou lésions qu’un individu s’inflige délibérément, il peut s’agir de tentatives de suicide ou d’automutilation non-suicidaires, comme des scarifications ou des brulures, la frontière est relativement poreuse entre les deux phénomènes et il est parfois impossible de déterminer avec certitude l’intention suicidaire. La troisième catégorie concerne les décès par suicide. Certains auteurs utilisent la catégorie des comportements parasuicidaires qui regroupe les automutilations, les intoxications massives et répétées ainsi que les comportements ou sports à très hauts risques.</w:t>
            </w:r>
          </w:p>
          <w:p w14:paraId="73FDD3C8" w14:textId="77777777" w:rsidR="00DC4B2F" w:rsidRPr="00DC4B2F" w:rsidRDefault="00DC4B2F" w:rsidP="00DC4B2F">
            <w:pPr>
              <w:spacing w:after="120" w:line="240" w:lineRule="auto"/>
              <w:rPr>
                <w:sz w:val="24"/>
                <w:szCs w:val="24"/>
              </w:rPr>
            </w:pPr>
            <w:r w:rsidRPr="00DC4B2F">
              <w:rPr>
                <w:sz w:val="24"/>
                <w:szCs w:val="24"/>
              </w:rPr>
              <w:t>La psychologue Silvia Sara Canetto (1992 ; Canetto &amp; Sakinofsky, 1998) a analysé les effets des scripts culturels sur les conduites suicidaires des femmes et des hommes. En dressant le constat que, dans la plupart des pays occidentaux, les décès par suicide concernent majoritairement des hommes tandis que les gestes suicidaires non létaux concernent majoritairement des femmes, elle développe la notion du paradoxe du genre (« </w:t>
            </w:r>
            <w:r w:rsidRPr="00DC4B2F">
              <w:rPr>
                <w:i/>
                <w:iCs/>
                <w:sz w:val="24"/>
                <w:szCs w:val="24"/>
              </w:rPr>
              <w:t>gender paradox</w:t>
            </w:r>
            <w:r w:rsidRPr="00DC4B2F">
              <w:rPr>
                <w:sz w:val="24"/>
                <w:szCs w:val="24"/>
              </w:rPr>
              <w:t xml:space="preserve"> ») : les comportements suicidaires mortels et non mortels s’inscrivent dans un tissu de normes culturelles définissant qui est susceptible de s’engager dans des conduites suicidaires, dans quelles circonstances, par quels moyens, et avec quelles significations sociales et morales. </w:t>
            </w:r>
          </w:p>
          <w:p w14:paraId="6BB29E35" w14:textId="77777777" w:rsidR="00DC4B2F" w:rsidRPr="00DC4B2F" w:rsidRDefault="00DC4B2F" w:rsidP="00DC4B2F">
            <w:pPr>
              <w:spacing w:after="120" w:line="240" w:lineRule="auto"/>
              <w:rPr>
                <w:sz w:val="24"/>
                <w:szCs w:val="24"/>
              </w:rPr>
            </w:pPr>
            <w:r w:rsidRPr="00DC4B2F">
              <w:rPr>
                <w:sz w:val="24"/>
                <w:szCs w:val="24"/>
              </w:rPr>
              <w:t>Si les manières de dire ou de taire, ainsi que de s’engager dans des conduites suicidaires sont profondément ancrées dans des stéréotypes de genre, c’est également le cas pour bien des atteintes psychiques. Leur prégnance comme leur contenu variant selon de nombreuses autres dimensions (âge, ressources disponibles, classe, statut, etc.), la recherche sur la construction et la mise en œuvre des scripts culturels recèle sans doute encore des perspectives prometteuses.</w:t>
            </w:r>
          </w:p>
        </w:tc>
      </w:tr>
    </w:tbl>
    <w:p w14:paraId="5C3342F5"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p>
    <w:p w14:paraId="359CA033"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35" w:name="_Toc236324522"/>
      <w:r w:rsidRPr="00DC4B2F">
        <w:rPr>
          <w:rFonts w:eastAsia="Times New Roman" w:cs="Times New Roman"/>
          <w:b/>
          <w:bCs/>
          <w:color w:val="000000"/>
          <w:kern w:val="2"/>
          <w:sz w:val="28"/>
          <w:szCs w:val="28"/>
          <w14:ligatures w14:val="standardContextual"/>
        </w:rPr>
        <w:t>Éclairer les phénomènes d’atteinte à la santé mentale par l’imbrication des variables, des contextes et des représentations</w:t>
      </w:r>
      <w:bookmarkEnd w:id="35"/>
    </w:p>
    <w:p w14:paraId="54BA8D48"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Pour comprendre les mécanismes de dégradation de la santé mentale et les documenter, cet appel à projets propose d’éclairer leur genèse et leurs conditions de développement en tenant compte de la diversité des populations touchées, des inégalités sociales de santé (exposome, accès aux soins) et des contextes familiaux, professionnels ou institutionnels pouvant conduire à l’émergence de souffrances psychiques. Ces différentes dimensions pourront être analysées dans le cadre de leurs interactions, de leurs effets cumulatifs et des dynamiques qu’elles engendrent. L’enchaînement des états de santé mentale est d’ailleurs susceptible de construire des processus (déclenchement, aggravation, stabilisation, chronicisation, réversibilité, rétablissement) dont il est nécessaire de tenir compte.</w:t>
      </w:r>
    </w:p>
    <w:p w14:paraId="13CAEB4F"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Une autre perspective de questionnements repose sur la notion même de besoin de soins de santé mentale, qui est une spécificité de la psychiatrie par rapport à d’autres formes de soin (Coldefy, 2016). Quand ce besoin apparaît-il ? Est-il forcément objectivé par un professionnel ? Comment est-il reconnu par la personne concernée ? Quelle part subjective, socialement située, se joue dans la reconnaissance et la démarche de recherche d’aide d’un individu ? Cette notion de besoin pourrait être explorée sous l’angle plus institutionnel du recours aux soins (qui recourt et à quels services ?). À ce propos pour recourir à de l’aide en santé mentale encore faut-il que ce besoin d’aide soit socialement et culturellement concevable pour la personne. Or, à l’image des soins psychiatriques de différente nature (psychothérapeutiques, médicamenteux, hospitaliers ou psychosociaux, sociaux, etc.) ces recours sont multiples : formels (système de </w:t>
      </w:r>
      <w:r w:rsidRPr="00DC4B2F">
        <w:rPr>
          <w:rFonts w:eastAsia="Aptos" w:cs="Times New Roman"/>
          <w:kern w:val="2"/>
          <w:sz w:val="24"/>
          <w:szCs w:val="24"/>
          <w14:ligatures w14:val="standardContextual"/>
        </w:rPr>
        <w:lastRenderedPageBreak/>
        <w:t>santé), religieux, magico-religieux, faisant appel à des médecines alternatives, du ressort du coaching ou du développement personnel, etc. Comment les populations s’approprient-elles ou au contraire se défient de ces divers types de recours ? Quelle place prennent les soins offerts par le service public dans cet ensemble hétérogène et comment se cumulent ou se concurrencent ces divers recours ?</w:t>
      </w:r>
    </w:p>
    <w:p w14:paraId="6AB1FB9B"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L’analyse des prises en soins devrait permettre d’en apprécier l’adéquation par rapport aux besoins et d’apporter de nouveaux éclairages quant à leur contribution aux inégalités sociales de santé mentale et de recours ainsi qu’à la construction des scripts culturels d’expression de la souffrance psychique (encadré 2). Au-delà de la distinction entre les trois modes cardinaux de prise en charge par le système de santé (l’ambulatoire, la prise en charge à temps partiel et la prise en charge à temps complet), ainsi que les cas de renoncement au soin et d’automédication, il pourrait être intéressant d’examiner les évolutions qui marquent leurs relations/interactions pour faire face aux besoins nouveaux et aux populations correspondantes. En partant du contexte institutionnel de la crise de la psychiatrie, la question se pose des mécanismes d’intervention, de l’élargissement des dispositifs de prévention et </w:t>
      </w:r>
      <w:r w:rsidRPr="00DC4B2F">
        <w:rPr>
          <w:rFonts w:eastAsia="Aptos" w:cs="Times New Roman"/>
          <w:i/>
          <w:iCs/>
          <w:kern w:val="2"/>
          <w:sz w:val="24"/>
          <w:szCs w:val="24"/>
          <w14:ligatures w14:val="standardContextual"/>
        </w:rPr>
        <w:t>in fin</w:t>
      </w:r>
      <w:r w:rsidRPr="00DC4B2F">
        <w:rPr>
          <w:rFonts w:eastAsia="Aptos" w:cs="Times New Roman"/>
          <w:kern w:val="2"/>
          <w:sz w:val="24"/>
          <w:szCs w:val="24"/>
          <w14:ligatures w14:val="standardContextual"/>
        </w:rPr>
        <w:t xml:space="preserve">e des acteurs et de la conception du soin. </w:t>
      </w:r>
    </w:p>
    <w:p w14:paraId="490E5535"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Il s’agit aussi de mieux identifier comment se combinent les différentes dimensions des interventions (sanitaire, médico-sociale et sociale) et impliquent des professionnels et des aidants variés (proches, entourage, etc.) – y compris du point de vue dont ils appréhendent les personnes et leurs troubles – afin de rendre compte de l’impact de ces interventions sur les personnes en situation de souffrance psychique. Car tous se réfèrent dans leurs interventions au soin, à l’accompagnement, à la protection et au respect des personnes et à leur autonomie</w:t>
      </w:r>
      <w:r w:rsidRPr="00DC4B2F">
        <w:rPr>
          <w:rFonts w:eastAsia="Aptos" w:cs="Times New Roman"/>
          <w:kern w:val="2"/>
          <w:sz w:val="24"/>
          <w:szCs w:val="24"/>
          <w:vertAlign w:val="superscript"/>
          <w14:ligatures w14:val="standardContextual"/>
        </w:rPr>
        <w:footnoteReference w:id="5"/>
      </w:r>
      <w:r w:rsidRPr="00DC4B2F">
        <w:rPr>
          <w:rFonts w:eastAsia="Aptos" w:cs="Times New Roman"/>
          <w:kern w:val="2"/>
          <w:sz w:val="24"/>
          <w:szCs w:val="24"/>
          <w14:ligatures w14:val="standardContextual"/>
        </w:rPr>
        <w:t>, tout en conférant à ces principes un sens qui diffère en fonction de multiples facteurs : les moyens institutionnels et matériels disponibles, les critères de justice (besoin, mérite, etc.) ou d’efficacité (sortie des soins, moindre dépendance, etc.), le type de relation avec les personnes concernées (patient, bénéficiaire, parent, etc.). S’attacher à mieux saisir et à objectiver ces paradigmes se révèle d’autant plus nécessaire que les controverses autour des modes d’évaluation et d’encadrement des pratiques en psychiatrie et autour des droits des usagers dans le système de soins engagent des conceptions contrastées de l’autonomie et du monde social (Dodier, 2004).</w:t>
      </w:r>
    </w:p>
    <w:p w14:paraId="45E79B4F" w14:textId="77777777" w:rsid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Dans le cadre de ces éléments de définition et de ces premières réflexions transversales, trois axes de recherches sont proposés pour contribuer à aiguiller la problématisation des projets proposés.</w:t>
      </w:r>
    </w:p>
    <w:p w14:paraId="131ACB01" w14:textId="77777777" w:rsidR="003673F1" w:rsidRPr="00DC4B2F" w:rsidRDefault="003673F1" w:rsidP="00DC4B2F">
      <w:pPr>
        <w:suppressAutoHyphens w:val="0"/>
        <w:spacing w:after="120" w:line="240" w:lineRule="auto"/>
        <w:rPr>
          <w:rFonts w:eastAsia="Aptos" w:cs="Times New Roman"/>
          <w:kern w:val="2"/>
          <w:sz w:val="24"/>
          <w:szCs w:val="24"/>
          <w14:ligatures w14:val="standardContextual"/>
        </w:rPr>
      </w:pPr>
    </w:p>
    <w:p w14:paraId="613E035C" w14:textId="77777777" w:rsidR="00DC4B2F" w:rsidRPr="00DC4B2F" w:rsidRDefault="00DC4B2F" w:rsidP="003673F1">
      <w:pPr>
        <w:pStyle w:val="Titre2"/>
      </w:pPr>
      <w:bookmarkStart w:id="36" w:name="_Toc236324523"/>
      <w:bookmarkStart w:id="37" w:name="_Toc238221290"/>
      <w:r w:rsidRPr="00DC4B2F">
        <w:t>Axe 1 – Trajectoires biographiques, déterminants sociaux et effets des violences sur les souffrances psychiques et les conduites suicidaires</w:t>
      </w:r>
      <w:bookmarkEnd w:id="36"/>
      <w:bookmarkEnd w:id="37"/>
    </w:p>
    <w:p w14:paraId="2313BC36"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Les travaux en sciences sociales ont depuis longtemps établi l’existence d’inégalités sociales importantes face au suicide et au mal‑être psychique. Le suicide est plus fréquent dans les groupes socialement défavorisés (Hazo et </w:t>
      </w:r>
      <w:r w:rsidRPr="00DC4B2F">
        <w:rPr>
          <w:rFonts w:eastAsia="Aptos" w:cs="Times New Roman"/>
          <w:i/>
          <w:iCs/>
          <w:kern w:val="2"/>
          <w:sz w:val="24"/>
          <w:szCs w:val="24"/>
          <w14:ligatures w14:val="standardContextual"/>
        </w:rPr>
        <w:t>al.,</w:t>
      </w:r>
      <w:r w:rsidRPr="00DC4B2F">
        <w:rPr>
          <w:rFonts w:eastAsia="Aptos" w:cs="Times New Roman"/>
          <w:kern w:val="2"/>
          <w:sz w:val="24"/>
          <w:szCs w:val="24"/>
          <w14:ligatures w14:val="standardContextual"/>
        </w:rPr>
        <w:t xml:space="preserve"> 2026) et le gradient social de santé mentale persiste, quelles que soient les évolutions des contextes sanitaires ou économiques (Baudelot et Establet, 2006). Toutefois, si ces liens sont bien documentés sur le plan statistique, les mécanismes sociaux par lesquels les inégalités, les violences et les assignations sociales « passent sous la peau » (Krieger, 2001) demeurent encore partiellement explorés, en particulier lorsqu’ils sont saisis à l’échelle des trajectoires de vie et du point de vue de l’imbrication des rapports sociaux.</w:t>
      </w:r>
    </w:p>
    <w:p w14:paraId="47282AA6"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lastRenderedPageBreak/>
        <w:t>Cet axe propose d’appréhender les souffrances psychiques comme des phénomènes qui émergent dans le cadre des rapports sociaux de genre, de classe, de race, d’âge, de handicap, etc., et qui se nouent au long des parcours des individus. Il invite à analyser comment ces configurations biographiques produisent des rapports différenciés aux souffrances psychiques et comment les individus font face à celles-ci, contribuant à les caractériser, à exprimer leur propre souffrance ou à répondre à celle d’autrui (Wang, 2017).</w:t>
      </w:r>
    </w:p>
    <w:p w14:paraId="6E0D5C2E"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38" w:name="_Toc236324524"/>
      <w:r w:rsidRPr="00DC4B2F">
        <w:rPr>
          <w:rFonts w:eastAsia="Times New Roman" w:cs="Times New Roman"/>
          <w:b/>
          <w:bCs/>
          <w:color w:val="000000"/>
          <w:kern w:val="2"/>
          <w:sz w:val="28"/>
          <w:szCs w:val="28"/>
          <w14:ligatures w14:val="standardContextual"/>
        </w:rPr>
        <w:t>Approches par trajectoires : temporalités biographiques, surexpositions et bifurcations</w:t>
      </w:r>
      <w:bookmarkEnd w:id="38"/>
    </w:p>
    <w:p w14:paraId="11963425"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Une première entrée consiste à appréhender les souffrances psychiques à partir des trajectoires de vie, en prenant appui sur les effets cumulatifs des conditions sociales d’existence, des événements biographiques et des transformations des positions occupées dans l’espace social. Ancré dans une perspective longitudinale, ce sous-axe invite à dépasser une lecture évènementielle de la survenue des souffrances psychiques ou des conduites suicidaires, en interrogeant leur émergence dans des temporalités longues marquées par des configurations familiales, scolaires, professionnelles et relationnelles différenciées, sans pour autant se désintéresser de la portée de certaines « bifurcations biographiques » (Bessin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2010) dont les conséquences peuvent être majeures et marquer durablement la vie psychique d’un individu.</w:t>
      </w:r>
    </w:p>
    <w:p w14:paraId="4A5B246A"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Les recherches pourront examiner comment les souffrances psychiques sont produites, révélées ou invisibilisées par des conditions matérielles de vie situées au sein des rapports sociaux de genre, de race, de handicap, de classe, etc. Les études portant sur des populations vivant en situation de précarité montrent assez bien les liens entre les conditions matérielles de vie et une santé mentale dégradée. Des travaux sur la santé des exilés en France (Kalolwa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2021) montrent les liens étroits entre la migration forcée, les violences subies passées et présentes, la précarité, et la survenue de troubles psychiques. Les souffrances psychiques exprimées s’inscrivent dans des contextes résidentiels et socio-économiques fortement dégradés.</w:t>
      </w:r>
    </w:p>
    <w:p w14:paraId="2590E075"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Ce sous-axe invite également à interroger les pratiques des classes dominantes et les effets de leur position sociale sur la santé mentale. Les personnes issues de familles à forts capitaux culturels et économiques peuvent par exemple exprimer des signes de dégradation psychique en lien avec les attentes de la famille vis-à-vis de leur réussite scolaire, professionnelle et sociale (Bouvet, 2024), en particulier chez les jeunes scolarisés et les étudiants.</w:t>
      </w:r>
    </w:p>
    <w:p w14:paraId="41FFBC33"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Enfin, les recherches pourront aussi s’intéresser à l’impact des « bascules biographiques » sur la dégradation de la santé mentale. Plusieurs travaux montrent que certains moments de la vie sont caractérisés par une fragilisation des ressources relationnelles, économiques et sociales qui peuvent concourir au développement de la souffrance psychique ou de comportements suicidaires. C’est notamment le cas des mères en période périnatale (Doncarli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2023 ; Deneux-Tharaux et Saucedo, 2024) ou des hommes âgés confrontés au veuvage (Hazo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2026). Ces travaux soulignent que certaines périodes de l’existence constituent des nœuds biographiques où se cristallisent des tensions qui produisent des fragilisations psychiques spécifiques, par exemple à l’adolescence et chez les jeunes adultes (entrée dans la sexualité, parcours étudiants, entrée dans l’emploi ou sur le marché du travail, etc.). Ces analyses gagneraient à être articulées à une réflexion sur les normes sociales attachées aux âges de la vie, aux conditions sociales d’existence, au genre et aux rapports sociaux de racialisation (Cousteaux et Pan Ké Shon, 2008 ; Madrisotti et Wang, 2023).</w:t>
      </w:r>
    </w:p>
    <w:p w14:paraId="5F3930EE"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39" w:name="_Toc236324525"/>
      <w:r w:rsidRPr="00DC4B2F">
        <w:rPr>
          <w:rFonts w:eastAsia="Times New Roman" w:cs="Times New Roman"/>
          <w:b/>
          <w:bCs/>
          <w:color w:val="000000"/>
          <w:kern w:val="2"/>
          <w:sz w:val="28"/>
          <w:szCs w:val="28"/>
          <w14:ligatures w14:val="standardContextual"/>
        </w:rPr>
        <w:lastRenderedPageBreak/>
        <w:t>Expression et mise en récit du mal</w:t>
      </w:r>
      <w:r w:rsidRPr="00DC4B2F">
        <w:rPr>
          <w:rFonts w:eastAsia="Times New Roman" w:cs="Times New Roman"/>
          <w:b/>
          <w:bCs/>
          <w:color w:val="000000"/>
          <w:kern w:val="2"/>
          <w:sz w:val="28"/>
          <w:szCs w:val="28"/>
          <w14:ligatures w14:val="standardContextual"/>
        </w:rPr>
        <w:noBreakHyphen/>
        <w:t>être : catégories, réactions et prises en charge différenciées</w:t>
      </w:r>
      <w:bookmarkEnd w:id="39"/>
    </w:p>
    <w:p w14:paraId="301716B1"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Un deuxième sous</w:t>
      </w:r>
      <w:r w:rsidRPr="00DC4B2F">
        <w:rPr>
          <w:rFonts w:eastAsia="Aptos" w:cs="Times New Roman"/>
          <w:kern w:val="2"/>
          <w:sz w:val="24"/>
          <w:szCs w:val="24"/>
          <w14:ligatures w14:val="standardContextual"/>
        </w:rPr>
        <w:noBreakHyphen/>
        <w:t>axe vise à analyser les conditions sociales d’expression, de mise en récit et de catégorisation des souffrances psychiques, ainsi que les réactions et modalités de prise en charge qu’elles suscitent. Les émotions, la détresse et le mal</w:t>
      </w:r>
      <w:r w:rsidRPr="00DC4B2F">
        <w:rPr>
          <w:rFonts w:eastAsia="Aptos" w:cs="Times New Roman"/>
          <w:kern w:val="2"/>
          <w:sz w:val="24"/>
          <w:szCs w:val="24"/>
          <w14:ligatures w14:val="standardContextual"/>
        </w:rPr>
        <w:noBreakHyphen/>
        <w:t>être, loin d’être uniformes, sont en effet profondément façonnés par des socialisations différenciées.</w:t>
      </w:r>
    </w:p>
    <w:p w14:paraId="00CE644A"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Plusieurs travaux ont, par exemple, mis en évidence le rôle du genre et de la classe sociale dans l’expression et la mise en mots des émotions (Illouz, 2008), notamment lorsqu’il s’agit d’émotions négatives (Chandler, 2024). Les hommes, en particulier ceux issus de milieux populaires, sont ainsi moins enclins à verbaliser leur souffrance psychique, celle</w:t>
      </w:r>
      <w:r w:rsidRPr="00DC4B2F">
        <w:rPr>
          <w:rFonts w:eastAsia="Aptos" w:cs="Times New Roman"/>
          <w:kern w:val="2"/>
          <w:sz w:val="24"/>
          <w:szCs w:val="24"/>
          <w14:ligatures w14:val="standardContextual"/>
        </w:rPr>
        <w:noBreakHyphen/>
        <w:t>ci étant associée à des formes de vulnérabilité jugées incompatibles avec les modèles de masculinité dominants (Cleary, 2011). À l’inverse, les souffrances exprimées par les femmes tendent à être plus rapidement psychologisées ou naturalisées, ce qui peut conduire à invisibiliser les déterminants sociaux de leur souffrance psychique (Canetto et Sakinofsky, 1998).</w:t>
      </w:r>
    </w:p>
    <w:p w14:paraId="08EA1226"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En France, l’expression d’un mal-être par des gestes auto-infligés relève d’une pratique particulièrement située dans l’espace social (Brossard, 2014). Elle concerne en effet majoritairement des jeunes femmes – le pic étant chez les adolescentes âgées de 15 à 19 ans, avec un taux d’hospitalisation quatre fois supérieur à celui des jeunes hommes</w:t>
      </w:r>
      <w:r w:rsidRPr="00DC4B2F">
        <w:rPr>
          <w:rFonts w:eastAsia="Aptos" w:cs="Times New Roman"/>
          <w:kern w:val="2"/>
          <w:sz w:val="24"/>
          <w:szCs w:val="24"/>
          <w:vertAlign w:val="superscript"/>
          <w14:ligatures w14:val="standardContextual"/>
        </w:rPr>
        <w:footnoteReference w:id="6"/>
      </w:r>
      <w:r w:rsidRPr="00DC4B2F">
        <w:rPr>
          <w:rFonts w:eastAsia="Aptos" w:cs="Times New Roman"/>
          <w:kern w:val="2"/>
          <w:sz w:val="24"/>
          <w:szCs w:val="24"/>
          <w14:ligatures w14:val="standardContextual"/>
        </w:rPr>
        <w:t xml:space="preserve"> (</w:t>
      </w:r>
      <w:bookmarkStart w:id="40" w:name="_Hlk231982006"/>
      <w:r w:rsidRPr="00DC4B2F">
        <w:rPr>
          <w:rFonts w:eastAsia="Aptos" w:cs="Times New Roman"/>
          <w:kern w:val="2"/>
          <w:sz w:val="24"/>
          <w:szCs w:val="24"/>
          <w14:ligatures w14:val="standardContextual"/>
        </w:rPr>
        <w:t xml:space="preserve">de Champs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2025</w:t>
      </w:r>
      <w:bookmarkEnd w:id="40"/>
      <w:r w:rsidRPr="00DC4B2F">
        <w:rPr>
          <w:rFonts w:eastAsia="Aptos" w:cs="Times New Roman"/>
          <w:kern w:val="2"/>
          <w:sz w:val="24"/>
          <w:szCs w:val="24"/>
          <w14:ligatures w14:val="standardContextual"/>
        </w:rPr>
        <w:t>). Toutefois, ce proxy de la souffrance psychique repose sur un codage hospitalier qui, d’une part, sous-estime l’ampleur du phénomène en excluant les gestes auto-infligés n’ayant pas donné lieu à une hospitalisation et, d’autre part, en invisibilise toutes les autres modalités d’expression, qui peuvent varier en fonction de l’âge, de la race, de la classe, du handicap, du genre, etc. Ainsi, ce sous-axe invite à examiner comment les différentes positions sociales occupées par un individu affectent la définition, l’expression, et la « mise en actes » des souffrances psychiques, mais aussi comment celles-ci évoluent et se transforment en fonction des rapports sociaux.</w:t>
      </w:r>
    </w:p>
    <w:p w14:paraId="16C6F62E"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Enfin, les recherches sont aussi invitées à interroger la différenciation sociale des catégories analytiques mobilisées dans le cadre psychiatrique et des diagnostics auxquels ils conduisent, ainsi que l’hétérogénéité des parcours de soin associés. L’analyse des relations entre patients et professionnels, en tant qu’interactions sociales entre individus socialement situés, permet de mettre en lumière les effets des rapports sociaux dans la reconnaissance, ou la disqualification, des souffrances psychiques. Les projets pourront ainsi examiner les conditions d’entrée (ou de non</w:t>
      </w:r>
      <w:r w:rsidRPr="00DC4B2F">
        <w:rPr>
          <w:rFonts w:eastAsia="Aptos" w:cs="Times New Roman"/>
          <w:kern w:val="2"/>
          <w:sz w:val="24"/>
          <w:szCs w:val="24"/>
          <w14:ligatures w14:val="standardContextual"/>
        </w:rPr>
        <w:noBreakHyphen/>
        <w:t>entrée) dans les dispositifs de prise en charge, les phénomènes d’errance diagnostique, le poids du stigmate psychiatrique et les expériences vécues dans les interactions avec les institutions de santé mentale. Les projets sont également invités à explorer les formes de non</w:t>
      </w:r>
      <w:r w:rsidRPr="00DC4B2F">
        <w:rPr>
          <w:rFonts w:eastAsia="Aptos" w:cs="Times New Roman"/>
          <w:kern w:val="2"/>
          <w:sz w:val="24"/>
          <w:szCs w:val="24"/>
          <w14:ligatures w14:val="standardContextual"/>
        </w:rPr>
        <w:noBreakHyphen/>
        <w:t xml:space="preserve">recours ou de renoncement aux soins (Roux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2025), en explorant non seulement les barrières financières, mais également le rôle des capitaux professionnels, matériels et sociaux influençant les représentations de la prise en charge en santé mentale et la capacité à se saisir des différents dispositifs et modalités d’accompagnements existants. </w:t>
      </w:r>
    </w:p>
    <w:p w14:paraId="69DEEE6E"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Les recherches pourront analyser les inégalités territoriales de prise en charge, les logiques différenciées de recours selon les secteurs (public, libéral, médico</w:t>
      </w:r>
      <w:r w:rsidRPr="00DC4B2F">
        <w:rPr>
          <w:rFonts w:eastAsia="Aptos" w:cs="Times New Roman"/>
          <w:kern w:val="2"/>
          <w:sz w:val="24"/>
          <w:szCs w:val="24"/>
          <w14:ligatures w14:val="standardContextual"/>
        </w:rPr>
        <w:noBreakHyphen/>
        <w:t xml:space="preserve">social), ainsi que les configurations dans lesquelles la souffrance psychique est euphémisée, dissimulée ou requalifiée. Elles pourront enfin s’intéresser à la prise en charge informelle et non institutionnalisée du mal-être et interroger par exemple le rôle des capitaux sociaux et émotionnels dans la prise en charge du </w:t>
      </w:r>
      <w:r w:rsidRPr="00DC4B2F">
        <w:rPr>
          <w:rFonts w:eastAsia="Aptos" w:cs="Times New Roman"/>
          <w:kern w:val="2"/>
          <w:sz w:val="24"/>
          <w:szCs w:val="24"/>
          <w14:ligatures w14:val="standardContextual"/>
        </w:rPr>
        <w:lastRenderedPageBreak/>
        <w:t>mal-être, ou encore les effets psychiques du déclassement ou de la mobilité sociale (Wang, 2013).</w:t>
      </w:r>
    </w:p>
    <w:p w14:paraId="19FD78EB"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41" w:name="_Toc236324526"/>
      <w:r w:rsidRPr="00DC4B2F">
        <w:rPr>
          <w:rFonts w:eastAsia="Times New Roman" w:cs="Times New Roman"/>
          <w:b/>
          <w:bCs/>
          <w:color w:val="000000"/>
          <w:kern w:val="2"/>
          <w:sz w:val="28"/>
          <w:szCs w:val="28"/>
          <w14:ligatures w14:val="standardContextual"/>
        </w:rPr>
        <w:t>Violences et discriminations : politiser la souffrance psychique</w:t>
      </w:r>
      <w:bookmarkEnd w:id="41"/>
    </w:p>
    <w:p w14:paraId="2C148D7D"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Le troisième sous-axe vise à approfondir l’analyse des effets des violences et des discriminations sur les souffrances psychiques. Bien que de plus en plus d’études documentent les liens statistiques entre l’exposition aux violences et le risque suicidaire chez des populations spécifiques (Sitbon, 2015 ; Scodellaro, 2022), les recherches qualitatives sont encore peu nombreuses à interroger les effets, sur la souffrance psychique, de la survenue des violences à différents âges de la vie, le rôle des espaces dans lesquels elles s’inscrivent (famille, école, couple, travail, etc.), les mécanismes qui favorisent ou entravent le passage à l’acte, la place de l’entourage, ainsi que la prise en compte de la position socialement située des victimes et des personnes ayant des comportements violents et/ou discriminants (Dussy, 2021).</w:t>
      </w:r>
    </w:p>
    <w:p w14:paraId="2B84BE24"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Les effets des discriminations sur la souffrance psychique, en particulier ceux liés aux processus de marginalisation systémique et structurelle des personnes occupant une ou plusieurs positions subalternes dans les rapports sociaux de race, de classe, de handicap ou de genre, pourraient constituer un champ d’investigation particulièrement fécond. À cet égard, les conditions de vie des immigrés apparaissent étroitement liées aux expériences de discriminations : l’origine et la couleur de peau demeurant les principaux motifs de discrimination déclarés par les immigrés et descendants d’immigrés originaires du Maghreb et d’Afrique subsaharienne (Beauchemin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2026). Dans quelle mesure et avec quelle intensité le fait d’être soumis à des conditions de vie marquées par des inégalités et des discriminations expose à des souffrances psychiques ? </w:t>
      </w:r>
    </w:p>
    <w:p w14:paraId="1E7F3ABB" w14:textId="77777777" w:rsid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Les données relatives aux conduites suicidaires montrent toutefois que les personnes nées à l’étranger déclarent moins de pensées suicidaires et présentent des taux de suicide significativement inférieurs à ceux des personnes nées en France métropolitaine (Hazo </w:t>
      </w:r>
      <w:r w:rsidRPr="00DC4B2F">
        <w:rPr>
          <w:rFonts w:eastAsia="Aptos" w:cs="Times New Roman"/>
          <w:i/>
          <w:iCs/>
          <w:kern w:val="2"/>
          <w:sz w:val="24"/>
          <w:szCs w:val="24"/>
          <w14:ligatures w14:val="standardContextual"/>
        </w:rPr>
        <w:t>et al.,</w:t>
      </w:r>
      <w:r w:rsidRPr="00DC4B2F">
        <w:rPr>
          <w:rFonts w:eastAsia="Aptos" w:cs="Times New Roman"/>
          <w:kern w:val="2"/>
          <w:sz w:val="24"/>
          <w:szCs w:val="24"/>
          <w14:ligatures w14:val="standardContextual"/>
        </w:rPr>
        <w:t xml:space="preserve"> 2021 ; 2026). Comment les différents rapports sociaux s’articulent-ils pour produire des effets différenciés sur la santé mentale ? Ces interrogations peuvent être posées à partir de populations ou d’objets spécifiques, mais également à travers l’analyse des réponses institutionnelles, associatives et professionnelles déployées face à ces situations.</w:t>
      </w:r>
      <w:bookmarkStart w:id="42" w:name="_Toc230883665"/>
    </w:p>
    <w:p w14:paraId="489F78DE" w14:textId="77777777" w:rsidR="003673F1" w:rsidRPr="00DC4B2F" w:rsidRDefault="003673F1" w:rsidP="00DC4B2F">
      <w:pPr>
        <w:suppressAutoHyphens w:val="0"/>
        <w:spacing w:after="120" w:line="240" w:lineRule="auto"/>
        <w:rPr>
          <w:rFonts w:eastAsia="Aptos" w:cs="Times New Roman"/>
          <w:kern w:val="2"/>
          <w:sz w:val="24"/>
          <w:szCs w:val="24"/>
          <w14:ligatures w14:val="standardContextual"/>
        </w:rPr>
      </w:pPr>
    </w:p>
    <w:p w14:paraId="11FCCEA2" w14:textId="77777777" w:rsidR="00DC4B2F" w:rsidRPr="00DC4B2F" w:rsidRDefault="00DC4B2F" w:rsidP="003673F1">
      <w:pPr>
        <w:pStyle w:val="Titre2"/>
      </w:pPr>
      <w:bookmarkStart w:id="43" w:name="_Toc236324527"/>
      <w:bookmarkStart w:id="44" w:name="_Toc238221291"/>
      <w:r w:rsidRPr="00DC4B2F">
        <w:t>Axe 2 – Institutions</w:t>
      </w:r>
      <w:bookmarkEnd w:id="42"/>
      <w:r w:rsidRPr="00DC4B2F">
        <w:t xml:space="preserve"> et cadres de socialisation</w:t>
      </w:r>
      <w:bookmarkEnd w:id="43"/>
      <w:bookmarkEnd w:id="44"/>
    </w:p>
    <w:p w14:paraId="2A8FE742" w14:textId="68E3753E"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Cet axe propose d’interroger les liens entre souffrance psychique et institution(s) en analysant celles-ci comme des lieux d’accueil, de prise en charge, d’enfermement ou comme instances socialisatrices inscrites dans des contextes géographiques, professionnels, économiques, historiques, technologiques et sociaux, produisant des effets psychiques</w:t>
      </w:r>
      <w:r w:rsidR="00D97FC0">
        <w:rPr>
          <w:rFonts w:eastAsia="Aptos" w:cs="Times New Roman"/>
          <w:kern w:val="2"/>
          <w:sz w:val="24"/>
          <w:szCs w:val="24"/>
          <w14:ligatures w14:val="standardContextual"/>
        </w:rPr>
        <w:t xml:space="preserve"> négatifs</w:t>
      </w:r>
      <w:r w:rsidRPr="00DC4B2F">
        <w:rPr>
          <w:rFonts w:eastAsia="Aptos" w:cs="Times New Roman"/>
          <w:kern w:val="2"/>
          <w:sz w:val="24"/>
          <w:szCs w:val="24"/>
          <w14:ligatures w14:val="standardContextual"/>
        </w:rPr>
        <w:t>.</w:t>
      </w:r>
    </w:p>
    <w:p w14:paraId="6DA7909C"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Les institutions sont ici entendues dans un sens large incluant les organisations physiques à l’image des établissements sanitaires et médico-sociaux, les structures éducatives, les dispositifs de protection et de contrôle, les espaces d’accueil, etc. Mais elles peuvent aussi être des entités qui construisent des processus et des normes qui contraignent et guident les comportements individuels et collectifs en structurant des expériences différenciées du lien, de la contrainte, de la reconnaissance, du soin ou de la vulnérabilisation. Une attention particulière pourra être portée à la manière dont les institutions produisent des catégorisations administratives et psychologiques qui reflètent des normes sociales, morales, de genre, d’âge ou de classe, et qui participent à définir les conditions de vie matérielles des publics pris en charge ainsi que les modalités de leur accompagnement. </w:t>
      </w:r>
    </w:p>
    <w:p w14:paraId="5063B55F"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Les recherches historiques invitent notamment à interroger les pratiques professionnelles, les formes de prise en charge et de sortie des institutions, les usages de la contrainte ainsi que les </w:t>
      </w:r>
      <w:r w:rsidRPr="00DC4B2F">
        <w:rPr>
          <w:rFonts w:eastAsia="Aptos" w:cs="Times New Roman"/>
          <w:kern w:val="2"/>
          <w:sz w:val="24"/>
          <w:szCs w:val="24"/>
          <w14:ligatures w14:val="standardContextual"/>
        </w:rPr>
        <w:lastRenderedPageBreak/>
        <w:t xml:space="preserve">représentations institutionnelles des publics (Rossigneux-Méheust, 2022). Une telle perspective permet d’analyser les évolutions des modes de compréhension et d’accompagnement de la souffrance psychique, mais aussi les effets des pratiques professionnelles sur les comportements et les trajectoires des personnes concernées. </w:t>
      </w:r>
    </w:p>
    <w:p w14:paraId="1C31CB5D"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L’approche historique peut ainsi se révéler particulièrement féconde pour analyser les évolutions, la structuration et les effets des institutions dans le champ des souffrances psychiques. Les contributions attendues pourront également prendre appui sur l’économie en analysant les institutions à l’aune de leurs modes de financement, de l’organisation du temps de travail, du nombre de postes pourvus ou de la répartition capital-travail. Traversées par des contraintes organisationnelles ainsi que par des logiques concurrentielles et gestionnaires (Cottin-Marx, 2021), la structuration et le modèle économique des institutions ont des effets concrets sur l’organisation du travail et sur la santé mentale, tant des professionnels que des personnes accueillies. Enfin, des travaux de juristes pourraient s’attacher à analyser les évolutions ayant marqué les cadres normatifs (principes et règles) organisant ces institutions de soins.</w:t>
      </w:r>
    </w:p>
    <w:p w14:paraId="3D537E0F"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Plutôt que de distinguer les institutions secteur par secteur, cet axe propose de structurer la réflexion autour de plusieurs logiques analytiques transversales.</w:t>
      </w:r>
    </w:p>
    <w:p w14:paraId="7AE09FE9"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45" w:name="_Toc236324528"/>
      <w:r w:rsidRPr="00DC4B2F">
        <w:rPr>
          <w:rFonts w:eastAsia="Times New Roman" w:cs="Times New Roman"/>
          <w:b/>
          <w:bCs/>
          <w:color w:val="000000"/>
          <w:kern w:val="2"/>
          <w:sz w:val="28"/>
          <w:szCs w:val="28"/>
          <w14:ligatures w14:val="standardContextual"/>
        </w:rPr>
        <w:t>Les institutions sous contrainte(s)</w:t>
      </w:r>
      <w:bookmarkEnd w:id="45"/>
      <w:r w:rsidRPr="00DC4B2F">
        <w:rPr>
          <w:rFonts w:eastAsia="Times New Roman" w:cs="Times New Roman"/>
          <w:b/>
          <w:bCs/>
          <w:color w:val="000000"/>
          <w:kern w:val="2"/>
          <w:sz w:val="28"/>
          <w:szCs w:val="28"/>
          <w14:ligatures w14:val="standardContextual"/>
        </w:rPr>
        <w:t> </w:t>
      </w:r>
      <w:r w:rsidRPr="00DC4B2F" w:rsidDel="001E3D52">
        <w:rPr>
          <w:rFonts w:eastAsia="Times New Roman" w:cs="Times New Roman"/>
          <w:b/>
          <w:bCs/>
          <w:color w:val="000000"/>
          <w:kern w:val="2"/>
          <w:sz w:val="28"/>
          <w:szCs w:val="28"/>
          <w14:ligatures w14:val="standardContextual"/>
        </w:rPr>
        <w:t xml:space="preserve"> </w:t>
      </w:r>
    </w:p>
    <w:p w14:paraId="1663BA23"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 xml:space="preserve">Le premier groupe d’institutions qui retient l’attention est constitué d’organisations dont le pouvoir normatif est fort. Ces institutions totales, au sens de Goffman et Foucault, se caractérisent par des formes et des niveaux de contraintes variables, qu’il s’agisse d’institutions d’enfermement (comme des centres de détention carcéraux, des centres de rétention administrative), des institutions hospitalières où peuvent s’exercer temporairement des privations de liberté (hôpital psychiatrique, etc.), ou d’espaces où la vie sociale est particulièrement disciplinée et contrôlée (EHPAD, foyers de l’Aide sociale à l’enfance, Armée, etc.). Ces espaces ont en commun de produire des effets spécifiques sur les subjectivités, en encadrant fortement les pratiques, les temporalités et les identités des individus. </w:t>
      </w:r>
    </w:p>
    <w:p w14:paraId="0AE89A5F"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Les recherches consacrées à ces univers institutionnels montrent que les mécanismes de contrôle, de surveillance, d’uniformisation des comportements et de limitation de l’autonomie peuvent constituer des facteurs de vulnérabilisation psychique, et certaines d’entre elles sont connues pour présenter des taux suicidaires particulièrement importants, à l’image des prisons (Simon, 2023 ; DAP, 2025) – pour les hommes et plus encore pour les femmes. La régulation stricte des rythmes de vie, la réduction des marges de décision individuelles, la proximité imposée avec autrui ou encore les processus de redéfinition identitaire associés à l’entrée dans ces institutions sont autant d’expériences susceptibles de générer des souffrances importantes, y compris pour les institutions du soin, dont on peut se demander si dans certains cas elles ne participent pas à engendrer ou aggraver des troubles psychiques</w:t>
      </w:r>
      <w:r w:rsidRPr="00DC4B2F">
        <w:rPr>
          <w:rFonts w:eastAsia="NSimSun" w:cs="Times New Roman"/>
          <w:kern w:val="3"/>
          <w:sz w:val="24"/>
          <w:szCs w:val="24"/>
          <w:vertAlign w:val="superscript"/>
          <w:lang w:eastAsia="zh-CN" w:bidi="hi-IN"/>
        </w:rPr>
        <w:footnoteReference w:id="7"/>
      </w:r>
      <w:r w:rsidRPr="00DC4B2F">
        <w:rPr>
          <w:rFonts w:eastAsia="NSimSun" w:cs="Times New Roman"/>
          <w:kern w:val="3"/>
          <w:sz w:val="24"/>
          <w:szCs w:val="24"/>
          <w:lang w:eastAsia="zh-CN" w:bidi="hi-IN"/>
        </w:rPr>
        <w:t xml:space="preserve"> ou à contribuer à leur stigmatisation.</w:t>
      </w:r>
    </w:p>
    <w:p w14:paraId="1876F732"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Les sorties de ces espaces fermés apparaissent également comme des séquences particulièrement sensibles (Drongiti, 2024). Ainsi, le retour à davantage d’autonomie, la réappropriation des responsabilités ordinaires, la reconstruction des liens sociaux ou encore la redéfinition des identités personnelles après une période de forte contrainte peuvent constituer des épreuves majeures.</w:t>
      </w:r>
    </w:p>
    <w:p w14:paraId="26F5F3FC"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lastRenderedPageBreak/>
        <w:t>Quel que soit leur type, il sera pertinent d’interroger les inégalités sociales face aux institutions, car les conditions d’expérience institutionnelle varient fortement selon les appartenances sociales, les trajectoires migratoires, le genre ou l’âge. Ces configurations produisent des effets différenciés ainsi que des manières diverses d’y répondre : désaffiliation, perte d’autonomie, souffrance psychique, mais aussi stratégies d’adaptation, de contournement ou de résistance.</w:t>
      </w:r>
    </w:p>
    <w:p w14:paraId="75F0F6EC"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46" w:name="_Toc236324529"/>
      <w:r w:rsidRPr="00DC4B2F">
        <w:rPr>
          <w:rFonts w:eastAsia="Times New Roman" w:cs="Times New Roman"/>
          <w:b/>
          <w:bCs/>
          <w:color w:val="000000"/>
          <w:kern w:val="2"/>
          <w:sz w:val="28"/>
          <w:szCs w:val="28"/>
          <w14:ligatures w14:val="standardContextual"/>
        </w:rPr>
        <w:t>Des institutions socialisatrices à l’essor des réseaux sociaux numériques</w:t>
      </w:r>
      <w:bookmarkEnd w:id="46"/>
    </w:p>
    <w:p w14:paraId="383DAEAD"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Les institutions socialisatrices représentent un groupe plus vaste, diversifié et hétérogène dans ses modalités de fonctionnement (institutions scolaires et d’apprentissage, école, universités, associations, famille, etc.). Elles sont caractérisées par leur capacité à construire et maintenir des liens sociaux déterminants pour les individus. Les institutions scolaires en sont emblématiques dans la mesure où elles constituent des environnements où de nombreux rapports sociaux structurants se construisent ou se rejouent, où les groupes de « pairs » se font et s’affrontent, où des processus de tri et de sélection ont lieu, où interagissent des individus aux statuts très différents, etc. On pourrait également citer la religion qui agit comme un processus de socialisation puissant entre individus d’une même communauté.</w:t>
      </w:r>
    </w:p>
    <w:p w14:paraId="3162EEE7"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Des travaux ont montré que l’amélioration des conditions de vie et la progression vers l’autonomie ne dépendent pas tant d’une structure en elle-même que des liens interpersonnels qui se nouent en son sein (Xanthakou et Zimmermann, 2010). À ce titre, des instances qui jouent un rôle homologue à celui d’institutions comme le cadre scolaire dans les processus de sociabilité – en particulier chez certaines populations comme les jeunes adultes et adolescents – pourraient faire l’objet de nouvelles investigations. Des travaux récents proposent à ce titre des approches qui renouvellent les possibilités d’investigation en s’intéressant à la mobilisation de nouvelles ressources et de leur appropriation (Garrec et Vuattoux, 2024).</w:t>
      </w:r>
    </w:p>
    <w:p w14:paraId="3B73D568"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Aux côtés des institutions qui correspondent à des processus de socialisation « classiques », et bien documentés, il apparait nécessaire de s’interroger sur le poids des réseaux socionumériques (RSN), dont on peut faire l’hypothèse qu’ils renouvellent les sociabilités et le processus de socialisation avec, dans une certaine mesure, une dimension générationnelle. En effet, les nouveaux outils de mise en contact entre individus peuvent avoir modifié les rapports à l’autre, la qualité de la relation qui s’établit et, en définitive, la robustesse du lien social.</w:t>
      </w:r>
    </w:p>
    <w:p w14:paraId="65CEC72D"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Partant du constat que les individus, et tout particulièrement les nouvelles générations, sont de plus en plus en interaction avec des outils connectés, il semble primordial de prendre la mesure et de saisir finement les effets des RSN sur l’émergence et l’expression de la souffrance psychique ou des idées et conduites suicidaires. Plusieurs enquêtes ont déjà indiqué qu’un usage dit « anormal » – essentiellement du point de vue de sa fréquence – des RSN peut être associé à une santé mentale dégradée (Anses, 2025). Certains travaux pointent leur responsabilité, au moins partielle, dans la sur-dépressivité des adolescentes et jeunes femmes qui apparait concomitamment à leur essor sur smartphones (Haidt, 2024 ; Hazo, 2025). Sur le plan méthodologique, les travaux réalisés reposent avant tout sur une base déclarative, rétrospective, et souvent sans suivi longitudinal, rendant difficile l’identification de causalités claires, et ne sont en général pas en mesure de distinguer les types d’usage. De plus, les RSN ne doivent pas être considérés uniquement sous l’angle des risques, mais pris plus largement dans leur complexité puisqu’ils contribuent également à s’établir comme des ressources de prévention et de soutien mutuel, favorisant l’entraide et réduisant les souffrances psychiques et les passages à l’acte (Armangau, 2025).</w:t>
      </w:r>
    </w:p>
    <w:p w14:paraId="48BC05BA"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Des travaux récents (Jonchery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xml:space="preserve"> 2025) insistent sur la nécessité d’opérer des distinctions dans les usages des RSN, notamment selon l’âge, mais aussi le genre puisque les femmes apparaissent plus à risque que les hommes de subir une dégradation de leur santé liée à l’usage </w:t>
      </w:r>
      <w:r w:rsidRPr="00DC4B2F">
        <w:rPr>
          <w:rFonts w:eastAsia="NSimSun" w:cs="Times New Roman"/>
          <w:kern w:val="3"/>
          <w:sz w:val="24"/>
          <w:szCs w:val="24"/>
          <w:lang w:eastAsia="zh-CN" w:bidi="hi-IN"/>
        </w:rPr>
        <w:lastRenderedPageBreak/>
        <w:t>des RSN (pressions sociales liées aux contenus sexualisants, cyberharcèlement, conséquence des stéréotypes de genre). Pourrait-on expliquer cette dégradation de la santé mentale des jeunes filles, qu’on repère par exemple à partir de la hausse très rapide des hospitalisations pour GAI chez les adolescentes et les jeunes femmes, par les usages différenciés des RSN ? Faudrait-il plutôt considérer cette expression du mal-être comme un phénomène genré qui s’inscrit dans une dégradation plus générale de la santé mentale des jeunes, et trouvant ses origines dans un sentiment plus large d’angoisse et d’insécurité ?</w:t>
      </w:r>
    </w:p>
    <w:p w14:paraId="70349E7D"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On peut en effet se demander dans quelle mesure les perceptions d’une dégradation de l’environnement font peser de nouvelles contraintes psychiques et sociales sur les individus, au point de créer ou de renforcer des angoisses déjà présentes – ce qu’on évoque sous le terme d’écoanxiété (Fansten et Garnoussi, 2025 ; Lachance, 2025). C’est également le cas pour d’autres phénomènes à l’instar de la visibilité accrue des violences sexistes et sexuelles dans le contexte post </w:t>
      </w:r>
      <w:r w:rsidRPr="00DC4B2F">
        <w:rPr>
          <w:rFonts w:eastAsia="NSimSun" w:cs="Times New Roman"/>
          <w:b/>
          <w:bCs/>
          <w:kern w:val="3"/>
          <w:sz w:val="24"/>
          <w:szCs w:val="24"/>
          <w:lang w:eastAsia="zh-CN" w:bidi="hi-IN"/>
        </w:rPr>
        <w:t>#</w:t>
      </w:r>
      <w:r w:rsidRPr="00DC4B2F">
        <w:rPr>
          <w:rFonts w:eastAsia="NSimSun" w:cs="Times New Roman"/>
          <w:kern w:val="3"/>
          <w:sz w:val="24"/>
          <w:szCs w:val="24"/>
          <w:lang w:eastAsia="zh-CN" w:bidi="hi-IN"/>
        </w:rPr>
        <w:t>MeToo, ou encore l’incertitude croissante liée aux violences et aux instabilités géopolitiques.</w:t>
      </w:r>
    </w:p>
    <w:p w14:paraId="2DB10D29"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Par ailleurs, les travaux consacrés aux RSN se concentrent souvent principalement sur l’exposition des enfants et des jeunes à ces dispositifs. Il serait pourtant pertinent d’examiner plus largement la manière dont les usages des RSN varient selon d’autres variables (âge, origine sociale, territoriale, personnes en situation d’isolement ou de handicap, temporalité de la vie, etc.), ainsi que les effets différenciés que ces usages peuvent avoir sur la santé mentale des individus. Une telle approche permettrait de mieux saisir la diversité des expériences numériques sur la santé mentale et les inégalités sociales qui traversent les rapports aux RSN.</w:t>
      </w:r>
    </w:p>
    <w:p w14:paraId="07CAADBD"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47" w:name="_Toc236324530"/>
      <w:r w:rsidRPr="00DC4B2F">
        <w:rPr>
          <w:rFonts w:eastAsia="Times New Roman" w:cs="Times New Roman"/>
          <w:b/>
          <w:bCs/>
          <w:color w:val="000000"/>
          <w:kern w:val="2"/>
          <w:sz w:val="28"/>
          <w:szCs w:val="28"/>
          <w14:ligatures w14:val="standardContextual"/>
        </w:rPr>
        <w:t>Discontinuités institutionnelles et lien social</w:t>
      </w:r>
      <w:bookmarkEnd w:id="47"/>
    </w:p>
    <w:p w14:paraId="0577D83F"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Ce sous-axe propose de croiser les réflexions relatives aux parcours de vie et aux événements de rupture biographique avec celles portant sur les formes de sociabilité et de souffrances psychiques produites en relation avec les institutions, à leurs marges et en dehors d’elles.</w:t>
      </w:r>
    </w:p>
    <w:p w14:paraId="61AF9F48"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L’articulation entre liens sociaux et santé mentale se situait déjà au fondement de l’approche durkheimienne du suicide et en particulier de sa dimension anomique, que Durkheim inscrit dans une réflexion plus large sur l’évolution de la solidarité sociale dans les sociétés modernes. Des travaux plus récents comme ceux de Robert Putnam aux États-Unis ont avancé l’idée d’une régression de cette solidarité, mais ce constat reste assez peu discuté, tout comme ses effets sur la santé mentale. Dans quelle mesure des évolutions contemporaines des modes de sociabilité sont-elles susceptibles de peser sur la santé mentale ? Qu’est-ce qui dans le lien social peut produire des souffrances psychiques ? Assiste-t-on réellement à des transformations fondamentales, sur certaines de ces dimensions des liens sociaux, à même d’être déstabilisantes pour les individus, ou doit-on considérer que le lien social se reconfigure sans perdre son pouvoir intégrateur ?</w:t>
      </w:r>
    </w:p>
    <w:p w14:paraId="297E886A"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Plusieurs phénomènes pourraient permettre d’examiner empiriquement ces interrogations : les reconfigurations des modalités de l’injonction contradictoire à l’autonomie et à l’identification chez les jeunes (Le Moigne et Morgiève, 2021), dans la lignée de discussions développées entre autres par Ehrenberg (1995) ; les formes de désaffiliation et de risques de souffrances psychiques accrues auxquelles sont confrontées certaines catégories de population dont les rapports aux institutions se caractérisent par leur fragmentation et leur discontinuité. C’est notamment le cas de personnes ayant fortement mobilisé les dispositifs publics : aide sociale à l’enfance (ASE), hôpitaux psychiatriques, structures d’hébergement destinées aux personnes sans domicile, dispositifs d’accompagnement des demandeurs d’emploi, hébergement pour personnes âgées, etc., et qui, à force d’en éprouver les logiques de fonctionnement autant que les limites, s’en éloignent. Cette prise de distance résulte souvent d’expériences répétées de </w:t>
      </w:r>
      <w:r w:rsidRPr="00DC4B2F">
        <w:rPr>
          <w:rFonts w:eastAsia="NSimSun" w:cs="Times New Roman"/>
          <w:kern w:val="3"/>
          <w:sz w:val="24"/>
          <w:szCs w:val="24"/>
          <w:lang w:eastAsia="zh-CN" w:bidi="hi-IN"/>
        </w:rPr>
        <w:lastRenderedPageBreak/>
        <w:t>ruptures institutionnelles et de discontinuités dans les prises en charge (Dietrich-Ragon et Loison-Leruste, 2023).</w:t>
      </w:r>
    </w:p>
    <w:p w14:paraId="76441CA0"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Ces situations invitent à analyser comment des publics se détachent de certaines institutions, sans pour autant rompre complètement avec elles. Et également comment ils s’inscrivent dans des trajectoires discontinues, tout en se définissant, au moins en partie, par rapport à elles. D’une façon générale, les entrées et les sorties d’institutions méritent donc une attention particulière et peuvent constituer des périodes particulièrement à risque : les effets des incarcérations, encasernements, placements, hospitalisations requièrent d’être appréhendés de façon dynamique, du point de vue de leur inscription dans une trajectoire individuelle qui ne se réduit pas à l’institution.</w:t>
      </w:r>
    </w:p>
    <w:p w14:paraId="2E0B2953" w14:textId="77777777" w:rsid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Il serait également intéressant d’analyser les espaces situés à la lisière, en particulier ceux soumis à des logiques de décloisonnement et de désinstitutionnalisation (Darley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2013). Cette perspective ouvre une double approche. Premièrement elle s’attache à analyser des institutions à cheval entre plusieurs mondes sociaux (entre accueil, soin et enfermement, comme les campements d’exilés ou les hôpitaux psychiatriques). Et deuxièmement, porter un regard sur les dynamiques de recomposition : des institutions entre elles, mais également leurs reconfigurations internes par exemple en se demandant comment les institutions gèrent et anticipent (ou non) les moments de transition que traversent les individus.</w:t>
      </w:r>
    </w:p>
    <w:p w14:paraId="22F07993" w14:textId="77777777" w:rsidR="003673F1" w:rsidRPr="00DC4B2F" w:rsidRDefault="003673F1" w:rsidP="00DC4B2F">
      <w:pPr>
        <w:autoSpaceDN w:val="0"/>
        <w:spacing w:after="120" w:line="240" w:lineRule="auto"/>
        <w:textAlignment w:val="baseline"/>
        <w:rPr>
          <w:rFonts w:eastAsia="NSimSun" w:cs="Times New Roman"/>
          <w:kern w:val="3"/>
          <w:sz w:val="24"/>
          <w:szCs w:val="24"/>
          <w:lang w:eastAsia="zh-CN" w:bidi="hi-IN"/>
        </w:rPr>
      </w:pPr>
    </w:p>
    <w:p w14:paraId="7D3D3116" w14:textId="77777777" w:rsidR="00DC4B2F" w:rsidRPr="00DC4B2F" w:rsidRDefault="00DC4B2F" w:rsidP="003673F1">
      <w:pPr>
        <w:pStyle w:val="Titre2"/>
      </w:pPr>
      <w:bookmarkStart w:id="48" w:name="_Toc230883667"/>
      <w:bookmarkStart w:id="49" w:name="_Toc236324531"/>
      <w:bookmarkStart w:id="50" w:name="_Toc238221292"/>
      <w:r w:rsidRPr="00DC4B2F">
        <w:t xml:space="preserve">Axe 3 – </w:t>
      </w:r>
      <w:bookmarkEnd w:id="48"/>
      <w:r w:rsidRPr="00DC4B2F">
        <w:t>Politiques et pratiques en santé mentale : la psychiatrie entre crises, réformes et avancées thérapeutiques</w:t>
      </w:r>
      <w:bookmarkEnd w:id="49"/>
      <w:bookmarkEnd w:id="50"/>
    </w:p>
    <w:p w14:paraId="2F911453" w14:textId="77777777" w:rsidR="00DC4B2F" w:rsidRPr="00DC4B2F" w:rsidRDefault="00DC4B2F" w:rsidP="00DC4B2F">
      <w:pPr>
        <w:suppressAutoHyphens w:val="0"/>
        <w:spacing w:after="120" w:line="240" w:lineRule="auto"/>
        <w:rPr>
          <w:rFonts w:eastAsia="Aptos" w:cs="Times New Roman"/>
          <w:kern w:val="2"/>
          <w:sz w:val="24"/>
          <w:szCs w:val="24"/>
          <w14:ligatures w14:val="standardContextual"/>
        </w:rPr>
      </w:pPr>
      <w:r w:rsidRPr="00DC4B2F">
        <w:rPr>
          <w:rFonts w:eastAsia="Aptos" w:cs="Times New Roman"/>
          <w:kern w:val="2"/>
          <w:sz w:val="24"/>
          <w:szCs w:val="24"/>
          <w14:ligatures w14:val="standardContextual"/>
        </w:rPr>
        <w:t>La psychiatrie occupe historiquement une place particulière dans le système de santé parce qu’elle a partie liée avec les marges, le caractère non consensuel des diagnostics, le traitement social de la déviance et avec la potentialité d’un enfermement sous contrainte (Foucault, 2003 [1973-1974]). Pour autant, à l’instar de la perspective mise en avant par Lise Demailly et Michel Autès (2012), ces domaines n’échappent pas à deux grands types de régulation classiques que sont l’action publique (logique bureaucratique) et le marché (logique économique). Cet axe propose donc de porter l’analyse sur les enjeux de régulation de la psychiatrie et les tensions contemporaines qui s’y jouent. En outre, la prise en charge de la santé mentale déborde le strict champ de la psychiatrie et repose sur des acteurs qui peuvent être, ou non, en lien avec elle. Ces acteurs sont également soumis à un certain nombre de contraintes et d’évolutions que cet appel vise également à documenter.</w:t>
      </w:r>
    </w:p>
    <w:p w14:paraId="14CE1BFC"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51" w:name="_Toc236324532"/>
      <w:r w:rsidRPr="00DC4B2F">
        <w:rPr>
          <w:rFonts w:eastAsia="Times New Roman" w:cs="Times New Roman"/>
          <w:b/>
          <w:bCs/>
          <w:color w:val="000000"/>
          <w:kern w:val="2"/>
          <w:sz w:val="28"/>
          <w:szCs w:val="28"/>
          <w14:ligatures w14:val="standardContextual"/>
        </w:rPr>
        <w:t>La crise de la psychiatrie : entre difficultés récurrentes et réagencements des savoirs et des pouvoirs</w:t>
      </w:r>
      <w:bookmarkEnd w:id="51"/>
    </w:p>
    <w:p w14:paraId="42144054" w14:textId="2A365CDC"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Depuis 80 ans, les soins psychiatriques sont en constante évolution. L’après-guerre est marqué en France par l’« hécatombe des fous »</w:t>
      </w:r>
      <w:r w:rsidRPr="00DC4B2F">
        <w:rPr>
          <w:rFonts w:eastAsia="NSimSun" w:cs="Times New Roman"/>
          <w:kern w:val="3"/>
          <w:sz w:val="24"/>
          <w:szCs w:val="24"/>
          <w:vertAlign w:val="superscript"/>
          <w:lang w:eastAsia="zh-CN" w:bidi="hi-IN"/>
        </w:rPr>
        <w:footnoteReference w:id="8"/>
      </w:r>
      <w:r w:rsidRPr="00DC4B2F">
        <w:rPr>
          <w:rFonts w:eastAsia="NSimSun" w:cs="Times New Roman"/>
          <w:kern w:val="3"/>
          <w:sz w:val="24"/>
          <w:szCs w:val="24"/>
          <w:lang w:eastAsia="zh-CN" w:bidi="hi-IN"/>
        </w:rPr>
        <w:t xml:space="preserve"> et un renouveau des soins psychiatriques s’opère sous l’impulsion de divers courants : anti-psychiatrie, désaliénisme, psychothérapie institutionnelle, psychiatrie sociale. La réforme structurelle de la sectorisation des soins a émergé dans un contexte d’initiatives foisonnantes plus localisées comme les cliniques militantes de psychothérapie institutionnelle (La Borde, Saint-Alban), les dispositifs extra-hospitaliers de réadaptation sociale, qu’ils soient publics (dispensaires d’hygiène mentale, Centre de traitement </w:t>
      </w:r>
      <w:r w:rsidRPr="00DC4B2F">
        <w:rPr>
          <w:rFonts w:eastAsia="NSimSun" w:cs="Times New Roman"/>
          <w:kern w:val="3"/>
          <w:sz w:val="24"/>
          <w:szCs w:val="24"/>
          <w:lang w:eastAsia="zh-CN" w:bidi="hi-IN"/>
        </w:rPr>
        <w:lastRenderedPageBreak/>
        <w:t>et de réadaptation sociale [CTRS]) ou associatifs (Croix-Marine, clubs thérapeutiques) et d’expérimentations locales de politique publique (ASM 13 dans le 13</w:t>
      </w:r>
      <w:r w:rsidRPr="00DC4B2F">
        <w:rPr>
          <w:rFonts w:eastAsia="NSimSun" w:cs="Times New Roman"/>
          <w:kern w:val="3"/>
          <w:sz w:val="24"/>
          <w:szCs w:val="24"/>
          <w:vertAlign w:val="superscript"/>
          <w:lang w:eastAsia="zh-CN" w:bidi="hi-IN"/>
        </w:rPr>
        <w:t>e</w:t>
      </w:r>
      <w:r w:rsidRPr="00DC4B2F">
        <w:rPr>
          <w:rFonts w:eastAsia="NSimSun" w:cs="Times New Roman"/>
          <w:kern w:val="3"/>
          <w:sz w:val="24"/>
          <w:szCs w:val="24"/>
          <w:lang w:eastAsia="zh-CN" w:bidi="hi-IN"/>
        </w:rPr>
        <w:t> arr. de Paris).</w:t>
      </w:r>
    </w:p>
    <w:p w14:paraId="1DF4AFAF"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Les années 1990 ont été le théâtre d’un basculement de la notion même de maladie mentale vers une acception plus large de souffrance existentielle. La lutte contre les maladies mentales s’est transformée en une lutte pour la santé mentale (Furtos, 2002). C’est en effet dans les années 90 que le terme même de santé mentale se généralise. En regard, les activités de la psychiatrie se sont élargies à des publics dont les sources de souffrance sont plus diversifiées à l’image de la dépression, du psychotrauma, des conduites addictives, de la précarité, etc.</w:t>
      </w:r>
    </w:p>
    <w:p w14:paraId="4F0485E5"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La banalisation des troubles psychiques (Ehrenberg, 1998) et l’extension du domaine de compétence du secteur psychiatrique n’ont toutefois pas abouti à un ajustement optimal des structures de soin et de leur financement. Alors même que les besoins évoluaient, certains auteurs dressent un bilan critique de la sectorisation de la psychiatrie considérée en partie comme un échec du fait d’une régulation technico-gestionnaire qui visait principalement à réduire les coûts (Biarez, 2004). D’autres acteurs du champ pointent, au tout début des années 2000, le non-aboutissement de la sectorisation et dénoncent l’hospitalo-centrisme qui prévaut encore dans de nombreux territoires. Le rapport Piel-Roelandt fonde ainsi le projet d’une psychiatrie « citoyenne » dont les principaux objectifs sont de dé-spécifier autant que possible la psychiatrie dans le système de santé, de faire du patient un usager de services, sujet de droit plus qu’objet de soins, et de réhabiliter socialement ce dernier au plus près de son lieu de vie, « dans la cité » en proposant notamment de fermer les hôpitaux psychiatriques (Piel et Roelandt, 2001).</w:t>
      </w:r>
    </w:p>
    <w:p w14:paraId="7B917A4E"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Dans le sillage de la loi Kouchner</w:t>
      </w:r>
      <w:r w:rsidRPr="00DC4B2F">
        <w:rPr>
          <w:rFonts w:eastAsia="NSimSun" w:cs="Times New Roman"/>
          <w:kern w:val="3"/>
          <w:sz w:val="24"/>
          <w:szCs w:val="24"/>
          <w:vertAlign w:val="superscript"/>
          <w:lang w:eastAsia="zh-CN" w:bidi="hi-IN"/>
        </w:rPr>
        <w:footnoteReference w:id="9"/>
      </w:r>
      <w:r w:rsidRPr="00DC4B2F">
        <w:rPr>
          <w:rFonts w:eastAsia="NSimSun" w:cs="Times New Roman"/>
          <w:kern w:val="3"/>
          <w:sz w:val="24"/>
          <w:szCs w:val="24"/>
          <w:lang w:eastAsia="zh-CN" w:bidi="hi-IN"/>
        </w:rPr>
        <w:t> promulguée en 2002 et portant un ensemble de transformations dans le cadre de la « démocratie sanitaire »</w:t>
      </w:r>
      <w:r w:rsidRPr="00DC4B2F">
        <w:rPr>
          <w:rFonts w:eastAsia="NSimSun" w:cs="Times New Roman"/>
          <w:kern w:val="3"/>
          <w:sz w:val="24"/>
          <w:szCs w:val="24"/>
          <w:vertAlign w:val="superscript"/>
          <w:lang w:eastAsia="zh-CN" w:bidi="hi-IN"/>
        </w:rPr>
        <w:footnoteReference w:id="10"/>
      </w:r>
      <w:r w:rsidRPr="00DC4B2F">
        <w:rPr>
          <w:rFonts w:eastAsia="NSimSun" w:cs="Times New Roman"/>
          <w:kern w:val="3"/>
          <w:sz w:val="24"/>
          <w:szCs w:val="24"/>
          <w:lang w:eastAsia="zh-CN" w:bidi="hi-IN"/>
        </w:rPr>
        <w:t>, une importante législation en faveur des droits des patients psychiatriques a été déployée : reconnaissance du handicap psychique et création des Groupes d’entraide mutuelle (GEM) en 2005</w:t>
      </w:r>
      <w:r w:rsidRPr="00DC4B2F">
        <w:rPr>
          <w:rFonts w:eastAsia="NSimSun" w:cs="Times New Roman"/>
          <w:kern w:val="3"/>
          <w:sz w:val="24"/>
          <w:szCs w:val="24"/>
          <w:vertAlign w:val="superscript"/>
          <w:lang w:eastAsia="zh-CN" w:bidi="hi-IN"/>
        </w:rPr>
        <w:footnoteReference w:id="11"/>
      </w:r>
      <w:r w:rsidRPr="00DC4B2F">
        <w:rPr>
          <w:rFonts w:eastAsia="NSimSun" w:cs="Times New Roman"/>
          <w:kern w:val="3"/>
          <w:sz w:val="24"/>
          <w:szCs w:val="24"/>
          <w:lang w:eastAsia="zh-CN" w:bidi="hi-IN"/>
        </w:rPr>
        <w:t> ; ratification par la France de la Convention des Nations Unies relative aux droits des personnes handicapées en 2010</w:t>
      </w:r>
      <w:r w:rsidRPr="00DC4B2F">
        <w:rPr>
          <w:rFonts w:eastAsia="NSimSun" w:cs="Times New Roman"/>
          <w:kern w:val="3"/>
          <w:sz w:val="24"/>
          <w:szCs w:val="24"/>
          <w:vertAlign w:val="superscript"/>
          <w:lang w:eastAsia="zh-CN" w:bidi="hi-IN"/>
        </w:rPr>
        <w:footnoteReference w:id="12"/>
      </w:r>
      <w:r w:rsidRPr="00DC4B2F">
        <w:rPr>
          <w:rFonts w:eastAsia="NSimSun" w:cs="Times New Roman"/>
          <w:kern w:val="3"/>
          <w:sz w:val="24"/>
          <w:szCs w:val="24"/>
          <w:lang w:eastAsia="zh-CN" w:bidi="hi-IN"/>
        </w:rPr>
        <w:t> ; contrôle judiciaire des hospitalisations sans consentement</w:t>
      </w:r>
      <w:r w:rsidRPr="00DC4B2F">
        <w:rPr>
          <w:rFonts w:eastAsia="NSimSun" w:cs="Times New Roman"/>
          <w:kern w:val="3"/>
          <w:sz w:val="24"/>
          <w:szCs w:val="24"/>
          <w:vertAlign w:val="superscript"/>
          <w:lang w:eastAsia="zh-CN" w:bidi="hi-IN"/>
        </w:rPr>
        <w:footnoteReference w:id="13"/>
      </w:r>
      <w:r w:rsidRPr="00DC4B2F">
        <w:rPr>
          <w:rFonts w:eastAsia="NSimSun" w:cs="Times New Roman"/>
          <w:kern w:val="3"/>
          <w:sz w:val="24"/>
          <w:szCs w:val="24"/>
          <w:lang w:eastAsia="zh-CN" w:bidi="hi-IN"/>
        </w:rPr>
        <w:t xml:space="preserve"> (Tartour, 2021), étendu en 2021 à l’isolement et à la contention à la suite d’une censure du Conseil constitutionnel</w:t>
      </w:r>
      <w:r w:rsidRPr="00DC4B2F">
        <w:rPr>
          <w:rFonts w:eastAsia="NSimSun" w:cs="Times New Roman"/>
          <w:kern w:val="3"/>
          <w:sz w:val="24"/>
          <w:szCs w:val="24"/>
          <w:vertAlign w:val="superscript"/>
          <w:lang w:eastAsia="zh-CN" w:bidi="hi-IN"/>
        </w:rPr>
        <w:footnoteReference w:id="14"/>
      </w:r>
      <w:r w:rsidRPr="00DC4B2F">
        <w:rPr>
          <w:rFonts w:eastAsia="NSimSun" w:cs="Times New Roman"/>
          <w:kern w:val="3"/>
          <w:sz w:val="24"/>
          <w:szCs w:val="24"/>
          <w:lang w:eastAsia="zh-CN" w:bidi="hi-IN"/>
        </w:rPr>
        <w:t xml:space="preserve"> ; jusqu’à l’annonce ministérielle, en 2026, d’un objectif d’abolition de la contention à l’horizon 2030. Durant ces décennies, la psychiatrie a pu se trouver mise en difficulté pour absorber des réformes plaçant le patient dans une position coopérative et plus protégée (Demailly, 2014) ; les professionnels devant composer avec des tensions concrètes entre la logique du soin librement consenti, et celle de la contrainte (Velpry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2018).</w:t>
      </w:r>
    </w:p>
    <w:p w14:paraId="170DF38E"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Les vingt dernières années ont également été marquées par la diffusion et la consolidation du rôle de nouveaux acteurs du soin : médiateurs de santé-pairs et autres pairs-aidants (Gardien, 2021), infirmières de pratiques avancées (IPA) et patients eux-mêmes. Les premiers fondent leur légitimité de soin sur leur savoir expérientiel, expérience phénoménologique du trouble psychique qui permet au patient rétabli d’être une ressource complémentaire, de plus en plus professionnalisée, à celle des soignants traditionnels. L’emploi de pairs-aidants professionnels ou les interventions de pairs-aidants bénévoles ont fait l’objet d’une littérature académique et </w:t>
      </w:r>
      <w:r w:rsidRPr="00DC4B2F">
        <w:rPr>
          <w:rFonts w:eastAsia="NSimSun" w:cs="Times New Roman"/>
          <w:kern w:val="3"/>
          <w:sz w:val="24"/>
          <w:szCs w:val="24"/>
          <w:lang w:eastAsia="zh-CN" w:bidi="hi-IN"/>
        </w:rPr>
        <w:lastRenderedPageBreak/>
        <w:t xml:space="preserve">professionnelle relativement riche à leurs débuts (Demailly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2015). Plus de 10 ans après, il est légitime de se demander si leur présence est à présent suffisamment enracinée dans les pratiques pour être un soin courant et comment se développe et se perpétue la culture professionnelle de ces pairs</w:t>
      </w:r>
      <w:r w:rsidRPr="00DC4B2F">
        <w:rPr>
          <w:rFonts w:eastAsia="NSimSun" w:cs="Times New Roman"/>
          <w:kern w:val="3"/>
          <w:sz w:val="24"/>
          <w:szCs w:val="24"/>
          <w:lang w:eastAsia="zh-CN" w:bidi="hi-IN"/>
        </w:rPr>
        <w:noBreakHyphen/>
        <w:t>aidants, dont beaucoup exercent d’ailleurs en libéral. De manière intrinsèquement liée, l’approche rétablissement</w:t>
      </w:r>
      <w:r w:rsidRPr="00DC4B2F">
        <w:rPr>
          <w:rFonts w:eastAsia="NSimSun" w:cs="Times New Roman"/>
          <w:kern w:val="3"/>
          <w:sz w:val="24"/>
          <w:szCs w:val="24"/>
          <w:vertAlign w:val="superscript"/>
          <w:lang w:eastAsia="zh-CN" w:bidi="hi-IN"/>
        </w:rPr>
        <w:footnoteReference w:id="15"/>
      </w:r>
      <w:r w:rsidRPr="00DC4B2F">
        <w:rPr>
          <w:rFonts w:eastAsia="NSimSun" w:cs="Times New Roman"/>
          <w:kern w:val="3"/>
          <w:sz w:val="24"/>
          <w:szCs w:val="24"/>
          <w:lang w:eastAsia="zh-CN" w:bidi="hi-IN"/>
        </w:rPr>
        <w:t xml:space="preserve"> se propage, elle est revendiquée par de plus en plus de professionnels et de secteurs, défendue par la Délégation ministérielle à la santé mentale et à la psychiatrie et des acteurs associatifs tels que l’UNAFAM. Pourtant son déploiement et les frictions qui y sont liées ne font l’objet que d’évaluations naissantes en France (Dubreucq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2023), restant encore peu documentées à l’échelle nationale.</w:t>
      </w:r>
    </w:p>
    <w:p w14:paraId="0D4553C0"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Pour leur part, les IPA issues de récents Masters de spécialisation en psychiatrie et sciences infirmières, dans un contexte de démographie médicale tendue, sont notamment habilitées depuis peu à recevoir des patients hors prescription médicale et à effectuer certaines primo-prescriptions. Leur début d’exercice professionnel paraît pour certains de ces professionnels difficile (Luan, 2023) et il est dommageable que la littérature en sciences sociales ne l’ait pas encore documenté, particulièrement dans le cas des IPA en psychiatrie et santé mentale.</w:t>
      </w:r>
    </w:p>
    <w:p w14:paraId="37AA92F7"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Enfin, se diffuse l’utilisation des directives anticipées en psychiatrie</w:t>
      </w:r>
      <w:r w:rsidRPr="00DC4B2F">
        <w:rPr>
          <w:rFonts w:eastAsia="NSimSun" w:cs="Times New Roman"/>
          <w:kern w:val="3"/>
          <w:sz w:val="24"/>
          <w:szCs w:val="24"/>
          <w:vertAlign w:val="superscript"/>
          <w:lang w:eastAsia="zh-CN" w:bidi="hi-IN"/>
        </w:rPr>
        <w:footnoteReference w:customMarkFollows="1" w:id="16"/>
        <w:t>[1]</w:t>
      </w:r>
      <w:r w:rsidRPr="00DC4B2F">
        <w:rPr>
          <w:rFonts w:eastAsia="NSimSun" w:cs="Times New Roman"/>
          <w:kern w:val="3"/>
          <w:sz w:val="24"/>
          <w:szCs w:val="24"/>
          <w:lang w:eastAsia="zh-CN" w:bidi="hi-IN"/>
        </w:rPr>
        <w:t xml:space="preserve">, souvent adossées à la pair-aidance et basées sur le renforcement de la capacité d’agir, ses mesures placent le patient stabilisé en position de partenaire, coconstruisant avec le soignant les soins qu’il recevra lorsqu’une crise abolira, au moins partiellement, sa capacité de discernement (Loubière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2023). Dans le même ordre de transformation des rôles, les GEM et Club-House, offrent aux patients un cadre où ils deviennent, hors de toute professionnalisation, une ressource les uns pour les autres (Troisoeufs, 2020).Considérant l’ensemble de ces acteurs et de ces organisations, quelle relecture peut-on faire de la démocratie sanitaire ? Tient-elle les promesses de participation, d’inclusion et d’équité dans un modèle censé allier démocratie politique et démocratie sociale ? En fin de compte, quelle place occupent les patients, les savoirs expérientiels et aidants experts dans les reconfigurations des modes de prise en charge et d’intelligibilité de la souffrance psychique ?</w:t>
      </w:r>
    </w:p>
    <w:p w14:paraId="25D4D9A2"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Alors que se dessine l’abolition de la contention mécanique, quelles nouvelles dynamiques meuvent les relations entre patients et soignants dans les services hospitaliers « fermés », autour notamment de la question des droits, de la contrainte et de celle du consentement ? Quelles adaptations organisationnelles sont en cours pour limiter, moduler ou s’affranchir de toute coercition mécanique ? Comment ces adaptations sont-elles perçues et accueillies par les différents acteurs du champ ? En « extra hospitalier », quels destins ont connu les programmes de soins, ces « murailles de papier » qui conjuguent obligation de soins à l’ambulatoire (Marques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xml:space="preserve">, 2016) ? Quant aux directives anticipées en psychiatrie, à quel point viennent-elles, en retour, </w:t>
      </w:r>
      <w:r w:rsidRPr="00DC4B2F">
        <w:rPr>
          <w:rFonts w:eastAsia="NSimSun" w:cs="Times New Roman"/>
          <w:i/>
          <w:iCs/>
          <w:kern w:val="3"/>
          <w:sz w:val="24"/>
          <w:szCs w:val="24"/>
          <w:lang w:eastAsia="zh-CN" w:bidi="hi-IN"/>
        </w:rPr>
        <w:t>contraindre</w:t>
      </w:r>
      <w:r w:rsidRPr="00DC4B2F">
        <w:rPr>
          <w:rFonts w:eastAsia="NSimSun" w:cs="Times New Roman"/>
          <w:kern w:val="3"/>
          <w:sz w:val="24"/>
          <w:szCs w:val="24"/>
          <w:lang w:eastAsia="zh-CN" w:bidi="hi-IN"/>
        </w:rPr>
        <w:t xml:space="preserve"> les soignants à pratiquer les soins qu’elles préconisent ? Comment ces progrès en matière de droits humains sont-ils perçus, quels freins rencontrent-ils ? À quel point les pairs-aidants et les simples usagers participent-ils de ce mouvement ? Ce dernier tient-il ses promesses d’émancipation pour les personnes concernées ?</w:t>
      </w:r>
    </w:p>
    <w:p w14:paraId="71ADF5C3"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Par ailleurs, le Comité consultatif national d’éthique (CCNE), dans un avis rendu en 2025 à propos de la psychiatrie, constate une situation caractérisée par les moyens insuffisants, des inégalités d’accès et la saturation généralisée des services</w:t>
      </w:r>
      <w:r w:rsidRPr="00DC4B2F">
        <w:rPr>
          <w:rFonts w:eastAsia="NSimSun" w:cs="Times New Roman"/>
          <w:kern w:val="3"/>
          <w:sz w:val="24"/>
          <w:szCs w:val="24"/>
          <w:vertAlign w:val="superscript"/>
          <w:lang w:eastAsia="zh-CN" w:bidi="hi-IN"/>
        </w:rPr>
        <w:footnoteReference w:id="17"/>
      </w:r>
      <w:r w:rsidRPr="00DC4B2F">
        <w:rPr>
          <w:rFonts w:eastAsia="NSimSun" w:cs="Times New Roman"/>
          <w:kern w:val="3"/>
          <w:sz w:val="24"/>
          <w:szCs w:val="24"/>
          <w:lang w:eastAsia="zh-CN" w:bidi="hi-IN"/>
        </w:rPr>
        <w:t>. De plus, l’inégale répartition des ressources psychiatriques sur le territoire</w:t>
      </w:r>
      <w:r w:rsidRPr="00DC4B2F">
        <w:rPr>
          <w:rFonts w:eastAsia="NSimSun" w:cs="Times New Roman"/>
          <w:kern w:val="3"/>
          <w:sz w:val="24"/>
          <w:szCs w:val="24"/>
          <w:vertAlign w:val="superscript"/>
          <w:lang w:eastAsia="zh-CN" w:bidi="hi-IN"/>
        </w:rPr>
        <w:footnoteReference w:id="18"/>
      </w:r>
      <w:r w:rsidRPr="00DC4B2F">
        <w:rPr>
          <w:rFonts w:eastAsia="NSimSun" w:cs="Times New Roman"/>
          <w:kern w:val="3"/>
          <w:sz w:val="24"/>
          <w:szCs w:val="24"/>
          <w:lang w:eastAsia="zh-CN" w:bidi="hi-IN"/>
        </w:rPr>
        <w:t xml:space="preserve"> affecte potentiellement des millions de personnes. </w:t>
      </w:r>
      <w:r w:rsidRPr="00DC4B2F">
        <w:rPr>
          <w:rFonts w:eastAsia="NSimSun" w:cs="Times New Roman"/>
          <w:kern w:val="3"/>
          <w:sz w:val="24"/>
          <w:szCs w:val="24"/>
          <w:lang w:eastAsia="zh-CN" w:bidi="hi-IN"/>
        </w:rPr>
        <w:lastRenderedPageBreak/>
        <w:t xml:space="preserve">Plurielle, la crise de la psychiatrie s’inscrit aussi dans un contexte politique plus général de service public empêché (Vezinat, 2024). </w:t>
      </w:r>
    </w:p>
    <w:p w14:paraId="39BA38D8"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L’élargissement des publics concernés nécessite en effet une excellente coordination des secteurs sanitaires, médico-sociaux et sociaux, au risque d’engendrer des ruptures de parcours de soins (cf. Axe 2) et une instabilité des thérapeutiques, notamment médicamenteuses (Legrand, 2025). Ces articulations continuent d’être un point d’achoppement de la continuité des soins et de l’accompagnement des personnes. C’est d’autant plus le cas depuis que l’hôpital psychiatrique a perdu le monopole de la prise en charge et doit composer avec des établissements et acteurs tiers. En effet, sa centralité s’est amenuisée et le caractère « intensif » du soin s’est affaibli en parallèle de la mise en place d’une gestion du flux de patients visant à contenir les coûts (Moreau, 2022) et à reconfigurer l’activité dans un contexte de pénurie.</w:t>
      </w:r>
    </w:p>
    <w:p w14:paraId="38238BD0"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La littérature administrative, constatant l’engorgement des CMP, use de plus en plus du terme de « réponse graduée » dans le parcours de soins où sont parfois distingués les « soins de santé mentale », c’est-à-dire concernant les troubles fréquents, généralement anxio-dépressifs, des besoins de « soins psychiatriques » (Cour des comptes, 2021)</w:t>
      </w:r>
      <w:r w:rsidRPr="00DC4B2F">
        <w:rPr>
          <w:rFonts w:eastAsia="Aptos" w:cs="Times New Roman"/>
          <w:kern w:val="2"/>
          <w:sz w:val="16"/>
          <w:szCs w:val="16"/>
          <w14:ligatures w14:val="standardContextual"/>
        </w:rPr>
        <w:t xml:space="preserve">. </w:t>
      </w:r>
      <w:r w:rsidRPr="00DC4B2F">
        <w:rPr>
          <w:rFonts w:eastAsia="NSimSun" w:cs="Times New Roman"/>
          <w:kern w:val="3"/>
          <w:sz w:val="24"/>
          <w:szCs w:val="24"/>
          <w:lang w:eastAsia="zh-CN" w:bidi="hi-IN"/>
        </w:rPr>
        <w:t>Une approche qui propose de définir le secteur psychiatrique non plus comme global, mais plutôt comme un acteur des soins secondaires, spécialisés. Le premier recours en santé mentale étant alors dévolu, de façon assumée, aux acteurs libéraux : médecins généralistes, psychiatres ou psychologues. Ces derniers ayant fait une entrée remarquée et contrastée dans le panier de soins couvert par l’Assurance Maladie via le dispositif MonSoutienPsy. À l’autre bout du spectre de cette réponse graduée, la communauté psychiatrique se divise devant l’émergence des centres</w:t>
      </w:r>
      <w:r w:rsidRPr="00DC4B2F">
        <w:rPr>
          <w:rFonts w:eastAsia="NSimSun" w:cs="Times New Roman"/>
          <w:kern w:val="3"/>
          <w:sz w:val="24"/>
          <w:szCs w:val="24"/>
          <w:lang w:eastAsia="zh-CN" w:bidi="hi-IN"/>
        </w:rPr>
        <w:noBreakHyphen/>
        <w:t>experts, structures hyperspécialisées qui, bien qu’adossées aux hôpitaux psychiatriques publics échappent théoriquement à la logique de sectorisation (</w:t>
      </w:r>
      <w:r w:rsidRPr="00DC4B2F">
        <w:rPr>
          <w:rFonts w:eastAsia="NSimSun" w:cs="Times New Roman"/>
          <w:i/>
          <w:iCs/>
          <w:kern w:val="3"/>
          <w:sz w:val="24"/>
          <w:szCs w:val="24"/>
          <w:lang w:eastAsia="zh-CN" w:bidi="hi-IN"/>
        </w:rPr>
        <w:t>ibid</w:t>
      </w:r>
      <w:r w:rsidRPr="00DC4B2F">
        <w:rPr>
          <w:rFonts w:eastAsia="NSimSun" w:cs="Times New Roman"/>
          <w:kern w:val="3"/>
          <w:sz w:val="24"/>
          <w:szCs w:val="24"/>
          <w:lang w:eastAsia="zh-CN" w:bidi="hi-IN"/>
        </w:rPr>
        <w:t xml:space="preserve">.). </w:t>
      </w:r>
    </w:p>
    <w:p w14:paraId="46B78021"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Aujourd’hui, comme hier, le champ de la santé mentale et de la psychiatrie est fragmenté, mais la contrainte budgétaire et les manques de soignants poussent les acteurs des diverses approches et doctrines à des refontes paradigmatiques priorisant la centralité du soin et la participation des usagers sur la diversité des approches (Brunn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2026). Un vaste champ de questionnements s’ouvre donc dans un paysage en reconstitution constante pour comprendre comment se jouent les enjeux d’adaptation, les conflits suscités et les mécanismes d’appropriation de ces transformations.</w:t>
      </w:r>
    </w:p>
    <w:p w14:paraId="08BB5C77"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Assiste-t-on à un recentrage du secteur dans le cœur de sa mission ou, au contraire, à un débordement par ses marges où il ne peut plus intervenir, faute de moyens ? Comment les différents acteurs, notamment les personnes concernées par les troubles et leurs proches, sont affectées et se repèrent-ils dans ce champ remanié ? Quels progrès ou reculs s’observent sur les errances diagnostiques et thérapeutiques, particulièrement prégnants en santé mentale ? Une logique de soins à deux vitesses est-elle renforcée ? Des projets se concentrant sur la place du médico-social dans ce champ reconfiguré seraient les bienvenus.</w:t>
      </w:r>
    </w:p>
    <w:p w14:paraId="16D6F8FB" w14:textId="42341779" w:rsidR="00DC4B2F" w:rsidRPr="00DC4B2F" w:rsidRDefault="00DC4B2F" w:rsidP="00DC4B2F">
      <w:pPr>
        <w:autoSpaceDN w:val="0"/>
        <w:spacing w:after="120" w:line="240" w:lineRule="auto"/>
        <w:textAlignment w:val="baseline"/>
        <w:rPr>
          <w:rFonts w:eastAsia="Aptos" w:cs="Times New Roman"/>
          <w:kern w:val="2"/>
          <w:sz w:val="24"/>
          <w:szCs w:val="24"/>
          <w14:ligatures w14:val="standardContextual"/>
        </w:rPr>
      </w:pPr>
      <w:r w:rsidRPr="00DC4B2F">
        <w:rPr>
          <w:rFonts w:eastAsia="NSimSun" w:cs="Times New Roman"/>
          <w:kern w:val="3"/>
          <w:sz w:val="24"/>
          <w:szCs w:val="24"/>
          <w:lang w:eastAsia="zh-CN" w:bidi="hi-IN"/>
        </w:rPr>
        <w:t xml:space="preserve">De manière plus large, comme l’ont souligné les programmes précédents de la MiRe et les publications afférentes dans la </w:t>
      </w:r>
      <w:r w:rsidRPr="00DC4B2F">
        <w:rPr>
          <w:rFonts w:eastAsia="NSimSun" w:cs="Times New Roman"/>
          <w:i/>
          <w:iCs/>
          <w:kern w:val="3"/>
          <w:sz w:val="24"/>
          <w:szCs w:val="24"/>
          <w:lang w:eastAsia="zh-CN" w:bidi="hi-IN"/>
        </w:rPr>
        <w:t>RFAS</w:t>
      </w:r>
      <w:r w:rsidR="00D97FC0">
        <w:rPr>
          <w:rFonts w:eastAsia="NSimSun" w:cs="Times New Roman"/>
          <w:kern w:val="3"/>
          <w:sz w:val="24"/>
          <w:szCs w:val="24"/>
          <w:lang w:eastAsia="zh-CN" w:bidi="hi-IN"/>
        </w:rPr>
        <w:t xml:space="preserve"> et les travaux de l’ONS,</w:t>
      </w:r>
      <w:r w:rsidRPr="00DC4B2F">
        <w:rPr>
          <w:rFonts w:eastAsia="NSimSun" w:cs="Times New Roman"/>
          <w:kern w:val="3"/>
          <w:sz w:val="24"/>
          <w:szCs w:val="24"/>
          <w:lang w:eastAsia="zh-CN" w:bidi="hi-IN"/>
        </w:rPr>
        <w:t xml:space="preserve"> les recherches pourraient explorer les nouvelles formes d’organisation des soins psychiatriques qui mettent de manière concomitante l’accent d’un côté sur des processus de marchandisation et donc de visibilité accrue de l’activité professionnelle</w:t>
      </w:r>
      <w:r w:rsidRPr="00DC4B2F">
        <w:rPr>
          <w:rFonts w:eastAsia="NSimSun" w:cs="Times New Roman"/>
          <w:kern w:val="3"/>
          <w:sz w:val="24"/>
          <w:szCs w:val="24"/>
          <w:vertAlign w:val="superscript"/>
          <w:lang w:eastAsia="zh-CN" w:bidi="hi-IN"/>
        </w:rPr>
        <w:footnoteReference w:id="19"/>
      </w:r>
      <w:r w:rsidRPr="00DC4B2F">
        <w:rPr>
          <w:rFonts w:eastAsia="NSimSun" w:cs="Times New Roman"/>
          <w:kern w:val="3"/>
          <w:sz w:val="24"/>
          <w:szCs w:val="24"/>
          <w:lang w:eastAsia="zh-CN" w:bidi="hi-IN"/>
        </w:rPr>
        <w:t xml:space="preserve">, et d’un autre sur des processus d’ouverture, d’individualisation et de renforcement des droits personnels, mais aussi sur les prises en charge « sans rupture » interrogeant le rôle et la place des médecins généralistes dans la détection et le diagnostic des troubles psychiques, leur relation avec les médecins spécialistes et les intervenants professionnels et profanes. L’analyse de l’adaptation de l’offre de soins aux besoins différentiés des populations et des territoires permettrait d’avancer dans la </w:t>
      </w:r>
      <w:r w:rsidRPr="00DC4B2F">
        <w:rPr>
          <w:rFonts w:eastAsia="NSimSun" w:cs="Times New Roman"/>
          <w:kern w:val="3"/>
          <w:sz w:val="24"/>
          <w:szCs w:val="24"/>
          <w:lang w:eastAsia="zh-CN" w:bidi="hi-IN"/>
        </w:rPr>
        <w:lastRenderedPageBreak/>
        <w:t>compréhension des relations complexes entre les notions de besoin, de recours et d’offre de soins (Benamouzig et Ulrich, 2016). En particulier, il pourrait s’agir d’interroger l’organisation territoriale de l’offre de soins en santé mentale, les variations qu’elle présente selon les contextes spatiaux, ainsi que les enjeux propres à chaque territoire. Une attention particulière pourrait être portée à la manière dont les caractéristiques géographiques, démographiques, culturelles, sociologiques et économiques façonnent des besoins en santé mentale localisés, y compris dans les territoires ultramarins (Santé publique France, 2026).</w:t>
      </w:r>
    </w:p>
    <w:p w14:paraId="501A6E0E"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Enfin, la reconfiguration du champ du soin en psychiatrie est également marquée par de nouveaux équilibres. Plusieurs travaux de la Drees documentent la modification de la répartition des capacités de prise en charge entre le secteur public et privé (Sterchele, 2023). La part du privé à but lucratif est passée de 18,0 % en 2008 à 28 % en 2024 (Drees, 2026 : 90). Si la porosité des deux secteurs est historique, de nouveaux enjeux financiers apparaissent, notamment sous l’effet de la financiarisation de l’hôpital et de processus de marchandisation : ainsi « dans le secteur privé à but lucratif, la psychiatrie demeure de loin la discipline qui dégage le plus de bénéfices » (</w:t>
      </w:r>
      <w:r w:rsidRPr="00DC4B2F">
        <w:rPr>
          <w:rFonts w:eastAsia="NSimSun" w:cs="Times New Roman"/>
          <w:i/>
          <w:iCs/>
          <w:kern w:val="3"/>
          <w:sz w:val="24"/>
          <w:szCs w:val="24"/>
          <w:lang w:eastAsia="zh-CN" w:bidi="hi-IN"/>
        </w:rPr>
        <w:t>ibid.</w:t>
      </w:r>
      <w:r w:rsidRPr="00DC4B2F">
        <w:rPr>
          <w:rFonts w:eastAsia="NSimSun" w:cs="Times New Roman"/>
          <w:kern w:val="3"/>
          <w:sz w:val="24"/>
          <w:szCs w:val="24"/>
          <w:lang w:eastAsia="zh-CN" w:bidi="hi-IN"/>
        </w:rPr>
        <w:t xml:space="preserve">, p. 198). Des travaux analysent déjà les conséquences négatives sur le management interne, la qualité des soins, la restructuration des soins avec d’autres partenaires ou encore le coût pour les patients (Da Silva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2026), mais ces travaux mériteraient d’être complétés et approfondis tant les enjeux liés à ces reconfigurations semblent vastes. D’autant plus dans le contexte budgétaire actuel marqué par une réforme du financement de la psychiatrie.</w:t>
      </w:r>
    </w:p>
    <w:p w14:paraId="20BA46B2" w14:textId="77777777" w:rsidR="00DC4B2F" w:rsidRPr="00DC4B2F" w:rsidRDefault="00DC4B2F" w:rsidP="00DC4B2F">
      <w:pPr>
        <w:keepNext/>
        <w:keepLines/>
        <w:suppressAutoHyphens w:val="0"/>
        <w:spacing w:before="160" w:after="80" w:line="259" w:lineRule="auto"/>
        <w:jc w:val="left"/>
        <w:outlineLvl w:val="1"/>
        <w:rPr>
          <w:rFonts w:eastAsia="Times New Roman" w:cs="Times New Roman"/>
          <w:b/>
          <w:bCs/>
          <w:color w:val="000000"/>
          <w:kern w:val="2"/>
          <w:sz w:val="28"/>
          <w:szCs w:val="28"/>
          <w14:ligatures w14:val="standardContextual"/>
        </w:rPr>
      </w:pPr>
      <w:bookmarkStart w:id="52" w:name="_Toc236324533"/>
      <w:r w:rsidRPr="00DC4B2F">
        <w:rPr>
          <w:rFonts w:eastAsia="Times New Roman" w:cs="Times New Roman"/>
          <w:b/>
          <w:bCs/>
          <w:color w:val="000000"/>
          <w:kern w:val="2"/>
          <w:sz w:val="28"/>
          <w:szCs w:val="28"/>
          <w14:ligatures w14:val="standardContextual"/>
        </w:rPr>
        <w:t>Nouvelles modalités de prévention, et d’organisation en santé mentale</w:t>
      </w:r>
      <w:bookmarkEnd w:id="52"/>
    </w:p>
    <w:p w14:paraId="2536DD81"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Au-delà de l’institution psychiatrique, l’élargissement des acteurs et des organisations impliquées dans la prévention de la dégradation de la santé mentale fait apparaitre un paysage hétérogène qu’il conviendrait de mieux appréhender. À ce titre, la prévention dans le domaine du suicide semble illustrative de quelques transformations récentes. Ainsi, la France s’est dotée depuis plusieurs années d’une stratégie nationale de prévention du suicide qui repose sur plusieurs dispositifs institutionnels</w:t>
      </w:r>
      <w:r w:rsidRPr="00DC4B2F">
        <w:rPr>
          <w:rFonts w:eastAsia="NSimSun" w:cs="Times New Roman"/>
          <w:kern w:val="3"/>
          <w:sz w:val="24"/>
          <w:szCs w:val="24"/>
          <w:vertAlign w:val="superscript"/>
          <w:lang w:eastAsia="zh-CN" w:bidi="hi-IN"/>
        </w:rPr>
        <w:footnoteReference w:id="20"/>
      </w:r>
      <w:r w:rsidRPr="00DC4B2F">
        <w:rPr>
          <w:rFonts w:eastAsia="NSimSun" w:cs="Times New Roman"/>
          <w:kern w:val="3"/>
          <w:sz w:val="24"/>
          <w:szCs w:val="24"/>
          <w:lang w:eastAsia="zh-CN" w:bidi="hi-IN"/>
        </w:rPr>
        <w:t xml:space="preserve"> financés par l’État et pilotés par des administrateurs-soignants. Ces actions sont complémentaires des activités de nombreuses associations qui tissent, par leur capacité à créer du lien social, un filet protecteur. L’articulation entre ces entités pourrait néanmoins être (re) questionnée, par exemple sur les implications de la création du numéro national 3114 par rapport au secteur associatif bien établi depuis des décennies : dotées d’objectifs proches, elles pourraient être porteuses de conceptions du soin en partie divergentes. Comment de telles visions contrastées cohabitent-elles ? Sur quels points s’opposent-elles ou parviennent-elles à se combiner ? Aboutissent-elles à des innovations organisationnelles ou de nouvelles configurations et alliances de soin ? Par quels compromis et avec quels effets d’éviction éventuels ?</w:t>
      </w:r>
    </w:p>
    <w:p w14:paraId="44DC523D" w14:textId="12617881"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Par ailleurs, la prévention, la détection et le suivi reposent maintenant largement sur un tissu de structures médico-sociales (maisons des adolescents, psychologues de l’Éducation </w:t>
      </w:r>
      <w:r w:rsidR="00131BF5">
        <w:rPr>
          <w:rFonts w:eastAsia="NSimSun" w:cs="Times New Roman"/>
          <w:kern w:val="3"/>
          <w:sz w:val="24"/>
          <w:szCs w:val="24"/>
          <w:lang w:eastAsia="zh-CN" w:bidi="hi-IN"/>
        </w:rPr>
        <w:t>n</w:t>
      </w:r>
      <w:r w:rsidRPr="00DC4B2F">
        <w:rPr>
          <w:rFonts w:eastAsia="NSimSun" w:cs="Times New Roman"/>
          <w:kern w:val="3"/>
          <w:sz w:val="24"/>
          <w:szCs w:val="24"/>
          <w:lang w:eastAsia="zh-CN" w:bidi="hi-IN"/>
        </w:rPr>
        <w:t xml:space="preserve">ationale, etc.) et sur l’activité des travailleurs sociaux qui, confrontés à des populations en grande souffrance, ne disposent souvent pas des compétences ou des ressources nécessaires pour y faire face d’une façon qu’ils estiment satisfaisante (Einhorn, 2018 ; Chambon </w:t>
      </w:r>
      <w:r w:rsidRPr="00DC4B2F">
        <w:rPr>
          <w:rFonts w:eastAsia="NSimSun" w:cs="Times New Roman"/>
          <w:i/>
          <w:iCs/>
          <w:kern w:val="3"/>
          <w:sz w:val="24"/>
          <w:szCs w:val="24"/>
          <w:lang w:eastAsia="zh-CN" w:bidi="hi-IN"/>
        </w:rPr>
        <w:t>et al.</w:t>
      </w:r>
      <w:r w:rsidRPr="00DC4B2F">
        <w:rPr>
          <w:rFonts w:eastAsia="NSimSun" w:cs="Times New Roman"/>
          <w:kern w:val="3"/>
          <w:sz w:val="24"/>
          <w:szCs w:val="24"/>
          <w:lang w:eastAsia="zh-CN" w:bidi="hi-IN"/>
        </w:rPr>
        <w:t>, 2020). Dans ce cas, quels types de réponses sont proposées, avec quels effets pour les personnes accompagnées et pour les professionnels ? Comment se structure ce champ (professionnellement, économique, juridiquement, etc.) pour faire face à l’élargissement de la prise en soin et pallier les carences de l’institution psychiatrique ?</w:t>
      </w:r>
    </w:p>
    <w:p w14:paraId="534BC6B9"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lastRenderedPageBreak/>
        <w:t>D’autres transformations notables de la prévention sont à l’œuvre, telles que la mise en place de nouveaux outils visant à diffuser et à individualiser davantage la prise en soin de la santé mentale, à l’image de la formation aux premiers secours en santé mentale (PSSM). Cette approche qui fait de la santé mentale un enjeu partagé entre tous les citoyens appelés à devenir plus conscients, mieux informés et plus proactifs. La démarche issue de cette volonté de constituer une véritable culture de la santé mentale susceptible d’activer plus tôt des alertes face à des individus en souffrance et de déstigmatiser les enjeux de santé mentale pour les rapprocher de ceux de la santé somatique se révèle-t-elle efficace ? Comment s’articule-t-elle avec les institutions plus conventionnelles du soin ? Dans quelle mesure conduit-elle à faire reposer une charge accrue sur des individus considérés comme maîtres et responsables de leur santé mentale et de celle de leur entourage ? Contribue-t-elle à normaliser ou à modifier les acceptions de la santé mentale et à la confusion des notions utilisées ? Comment reconfigure-t-elle les représentations des soins ? Quels effets produit-elle – si elle en produit – sur les évolutions des mécanismes de prévention, par exemple en questionnant le schéma d’actions articulé autour de mécanismes de prévention dits « primaires », « secondaires » ou « tertiaires » ?</w:t>
      </w:r>
    </w:p>
    <w:p w14:paraId="1D139BDF" w14:textId="4D521145"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 xml:space="preserve">De manière similaire, les chercheurs sont invités à analyser les dispositifs innovants de prise en soin de la souffrance psychique et du risque suicidaire. Les innovations organisationnelles ou cliniques, qu’elles soient portées par des professionnels, des programmes expérimentaux de politiques publiques, par des associations, par des initiatives citoyennes dans des logiques </w:t>
      </w:r>
      <w:r w:rsidRPr="00DC4B2F">
        <w:rPr>
          <w:rFonts w:eastAsia="NSimSun" w:cs="Times New Roman"/>
          <w:i/>
          <w:iCs/>
          <w:kern w:val="3"/>
          <w:sz w:val="24"/>
          <w:szCs w:val="24"/>
          <w:lang w:eastAsia="zh-CN" w:bidi="hi-IN"/>
        </w:rPr>
        <w:t>bottom-up</w:t>
      </w:r>
      <w:r w:rsidRPr="007F77D1">
        <w:rPr>
          <w:rFonts w:eastAsia="NSimSun" w:cs="Times New Roman"/>
          <w:kern w:val="3"/>
          <w:sz w:val="24"/>
          <w:szCs w:val="24"/>
          <w:lang w:eastAsia="zh-CN" w:bidi="hi-IN"/>
        </w:rPr>
        <w:t xml:space="preserve"> </w:t>
      </w:r>
      <w:r w:rsidR="007F77D1" w:rsidRPr="007F77D1">
        <w:rPr>
          <w:rFonts w:eastAsia="NSimSun" w:cs="Times New Roman"/>
          <w:kern w:val="3"/>
          <w:sz w:val="24"/>
          <w:szCs w:val="24"/>
          <w:lang w:eastAsia="zh-CN" w:bidi="hi-IN"/>
        </w:rPr>
        <w:t xml:space="preserve">(par le bas, ascendantes) </w:t>
      </w:r>
      <w:r w:rsidRPr="00DC4B2F">
        <w:rPr>
          <w:rFonts w:eastAsia="NSimSun" w:cs="Times New Roman"/>
          <w:kern w:val="3"/>
          <w:sz w:val="24"/>
          <w:szCs w:val="24"/>
          <w:lang w:eastAsia="zh-CN" w:bidi="hi-IN"/>
        </w:rPr>
        <w:t>ou par des démarches nouvelles sont susceptibles de provoquer différents effets qu’il conviendrait d’analyser : fragmentation du soin ou au contraire meilleure coordination ; remise en cause des programmes institutionnels de prévention ou renforcement de ces derniers ; individualisation du soin ou mise en communauté des enjeux ; création de lien social, etc. L’analyse des conditions d’émergence de ces innovations et de leur développement éventuel serait précieuse.</w:t>
      </w:r>
    </w:p>
    <w:p w14:paraId="144F8CBC" w14:textId="77777777" w:rsidR="00DC4B2F" w:rsidRPr="00DC4B2F" w:rsidRDefault="00DC4B2F" w:rsidP="00DC4B2F">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Du point de vue de la gouvernance, ces recompositions du paysage de la santé mentale s’accompagnent de nouvelles modalités de pilotage et de coordination territoriale des acteurs, portées par les Agences régionales de santé (ARS). La loi de modernisation du système de santé de 2016 a institué les Projets territoriaux de santé mentale (PTSM), dispositifs de planification élaborés « à l’initiative des professionnels et établissements » sur la base d’un diagnostic territorial partagé, puis arrêtés par le directeur général de l’ARS et déclinés en contrats territoriaux de santé mentale d’une durée de cinq ans. Cette gouvernance relativement descendante dans chaque département coexiste avec une gouvernance plus locale et partenariale, celle des Conseils locaux de santé mentale (CLSM), espaces de concertation associant élus municipaux, psychiatrie publique, secteur médico-social et usagers, dont le nombre n’a cessé de croître depuis leur reconnaissance juridique par la même loi de 2016. Cette architecture à plusieurs échelles pose la question de sa cohérence effective et de ses effets réels sur les pratiques de terrain, plus qu’elle n’en garantit une quelconque coordination. Le pilotage par les ARS, en particulier, s’inscrit dans une logique gestionnaire et contractuelle (fixation d’objectifs, indicateurs, durée contractuelle, financement sur projets) qui n’est pas sans tension avec les logiques cliniques et associatives des acteurs de terrain qu’elle est censée fédérer.</w:t>
      </w:r>
    </w:p>
    <w:p w14:paraId="37E8921A" w14:textId="52559DC1" w:rsidR="00601856" w:rsidRDefault="00DC4B2F" w:rsidP="00601856">
      <w:pPr>
        <w:autoSpaceDN w:val="0"/>
        <w:spacing w:after="120" w:line="240" w:lineRule="auto"/>
        <w:textAlignment w:val="baseline"/>
        <w:rPr>
          <w:rFonts w:eastAsia="NSimSun" w:cs="Times New Roman"/>
          <w:kern w:val="3"/>
          <w:sz w:val="24"/>
          <w:szCs w:val="24"/>
          <w:lang w:eastAsia="zh-CN" w:bidi="hi-IN"/>
        </w:rPr>
      </w:pPr>
      <w:r w:rsidRPr="00DC4B2F">
        <w:rPr>
          <w:rFonts w:eastAsia="NSimSun" w:cs="Times New Roman"/>
          <w:kern w:val="3"/>
          <w:sz w:val="24"/>
          <w:szCs w:val="24"/>
          <w:lang w:eastAsia="zh-CN" w:bidi="hi-IN"/>
        </w:rPr>
        <w:t>Ce maillage institutionnel invite à interroger empiriquement son fonctionnement réel : comment se négocient les diagnostics territoriaux partagés entre acteurs aux intérêts et doctrines divergents, voire concurrents ? Les ARS parviennent-elles à jouer un rôle d’arbitrage neutre entre acteurs publics, associatifs et libéraux, ou reconduisent-elles des rapports de force préexistants ? Dans quelle mesure les CLSM, dispositifs plus horizontaux et ancrés localement, contrebalancent-ils la logique plus descendante et gestionnaire des PTSM ? Quels sont, enfin, les effets concrets de cette gouvernance par projet et par contrat sur la continuité des parcours que ces dispositifs sont censés garantir ?</w:t>
      </w:r>
      <w:r w:rsidR="00601856">
        <w:rPr>
          <w:rFonts w:eastAsia="NSimSun" w:cs="Times New Roman"/>
          <w:kern w:val="3"/>
          <w:sz w:val="24"/>
          <w:szCs w:val="24"/>
          <w:lang w:eastAsia="zh-CN" w:bidi="hi-IN"/>
        </w:rPr>
        <w:br w:type="page"/>
      </w:r>
    </w:p>
    <w:p w14:paraId="4299AB98" w14:textId="6C887FCB" w:rsidR="00DC4B2F" w:rsidRPr="00DC4B2F" w:rsidRDefault="00DC4B2F" w:rsidP="003673F1">
      <w:pPr>
        <w:pStyle w:val="Titre2"/>
      </w:pPr>
      <w:bookmarkStart w:id="53" w:name="_Toc238221293"/>
      <w:r w:rsidRPr="00DC4B2F">
        <w:lastRenderedPageBreak/>
        <w:t>Bibliographie</w:t>
      </w:r>
      <w:bookmarkEnd w:id="53"/>
    </w:p>
    <w:p w14:paraId="1C58CD9F"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Agence nationale de sécurité sanitaire de l’alimentation, de l’environnement et du travail (Anses). (2025). </w:t>
      </w:r>
      <w:r w:rsidRPr="003673F1">
        <w:rPr>
          <w:rFonts w:eastAsia="Aptos" w:cs="Times New Roman"/>
          <w:i/>
          <w:iCs/>
          <w:kern w:val="2"/>
          <w:sz w:val="18"/>
          <w:szCs w:val="18"/>
          <w14:ligatures w14:val="standardContextual"/>
        </w:rPr>
        <w:t>Effets de l’usage des réseaux sociaux numériques sur la santé des adolescents : Rapport suite à autosaisine</w:t>
      </w:r>
      <w:r w:rsidRPr="003673F1">
        <w:rPr>
          <w:rFonts w:eastAsia="Aptos" w:cs="Times New Roman"/>
          <w:kern w:val="2"/>
          <w:sz w:val="18"/>
          <w:szCs w:val="18"/>
          <w14:ligatures w14:val="standardContextual"/>
        </w:rPr>
        <w:t>.</w:t>
      </w:r>
    </w:p>
    <w:p w14:paraId="15D519B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Anthony, W. A. (1993). Recovery from mental illness: The guiding vision of the mental health service system in the 1990s. </w:t>
      </w:r>
      <w:r w:rsidRPr="003673F1">
        <w:rPr>
          <w:rFonts w:eastAsia="Aptos" w:cs="Times New Roman"/>
          <w:i/>
          <w:iCs/>
          <w:kern w:val="2"/>
          <w:sz w:val="18"/>
          <w:szCs w:val="18"/>
          <w14:ligatures w14:val="standardContextual"/>
        </w:rPr>
        <w:t>Psychosocial Rehabilitation Journal, 16</w:t>
      </w:r>
      <w:r w:rsidRPr="003673F1">
        <w:rPr>
          <w:rFonts w:eastAsia="Aptos" w:cs="Times New Roman"/>
          <w:kern w:val="2"/>
          <w:sz w:val="18"/>
          <w:szCs w:val="18"/>
          <w14:ligatures w14:val="standardContextual"/>
        </w:rPr>
        <w:t>(4), 11–23.</w:t>
      </w:r>
    </w:p>
    <w:p w14:paraId="2B4849D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Armangau, Y. (2025). </w:t>
      </w:r>
      <w:r w:rsidRPr="003673F1">
        <w:rPr>
          <w:rFonts w:eastAsia="Aptos" w:cs="Times New Roman"/>
          <w:i/>
          <w:iCs/>
          <w:kern w:val="2"/>
          <w:sz w:val="18"/>
          <w:szCs w:val="18"/>
          <w14:ligatures w14:val="standardContextual"/>
        </w:rPr>
        <w:t>Le lien social à l’épreuve du genre : Les parcours trans, de la disqualification aux recompositions des solidarités</w:t>
      </w:r>
      <w:r w:rsidRPr="003673F1">
        <w:rPr>
          <w:rFonts w:eastAsia="Aptos" w:cs="Times New Roman"/>
          <w:kern w:val="2"/>
          <w:sz w:val="18"/>
          <w:szCs w:val="18"/>
          <w14:ligatures w14:val="standardContextual"/>
        </w:rPr>
        <w:t xml:space="preserve"> (Thèse de doctorat, Université de Toulouse).</w:t>
      </w:r>
    </w:p>
    <w:p w14:paraId="0F466899"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Auvergnon, P. (2012). Approche juridique du handicap psychique. </w:t>
      </w:r>
      <w:r w:rsidRPr="003673F1">
        <w:rPr>
          <w:rFonts w:eastAsia="Aptos" w:cs="Times New Roman"/>
          <w:i/>
          <w:iCs/>
          <w:kern w:val="2"/>
          <w:sz w:val="18"/>
          <w:szCs w:val="18"/>
          <w14:ligatures w14:val="standardContextual"/>
        </w:rPr>
        <w:t xml:space="preserve">Alter, 6 </w:t>
      </w:r>
      <w:r w:rsidRPr="003673F1">
        <w:rPr>
          <w:rFonts w:eastAsia="Aptos" w:cs="Times New Roman"/>
          <w:kern w:val="2"/>
          <w:sz w:val="18"/>
          <w:szCs w:val="18"/>
          <w14:ligatures w14:val="standardContextual"/>
        </w:rPr>
        <w:t>(4).</w:t>
      </w:r>
    </w:p>
    <w:p w14:paraId="1B2769B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Baudelot, C., &amp; Establet, R. (2006). </w:t>
      </w:r>
      <w:r w:rsidRPr="003673F1">
        <w:rPr>
          <w:rFonts w:eastAsia="Aptos" w:cs="Times New Roman"/>
          <w:i/>
          <w:iCs/>
          <w:kern w:val="2"/>
          <w:sz w:val="18"/>
          <w:szCs w:val="18"/>
          <w14:ligatures w14:val="standardContextual"/>
        </w:rPr>
        <w:t>Suicide. L’envers de notre monde</w:t>
      </w:r>
      <w:r w:rsidRPr="003673F1">
        <w:rPr>
          <w:rFonts w:eastAsia="Aptos" w:cs="Times New Roman"/>
          <w:kern w:val="2"/>
          <w:sz w:val="18"/>
          <w:szCs w:val="18"/>
          <w14:ligatures w14:val="standardContextual"/>
        </w:rPr>
        <w:t>. Seuil.</w:t>
      </w:r>
    </w:p>
    <w:p w14:paraId="521014F5"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Beauchemin, C., Ichou, M., &amp; Simon, P. (Éds.). (2026). </w:t>
      </w:r>
      <w:r w:rsidRPr="003673F1">
        <w:rPr>
          <w:rFonts w:eastAsia="Aptos" w:cs="Times New Roman"/>
          <w:i/>
          <w:iCs/>
          <w:kern w:val="2"/>
          <w:sz w:val="18"/>
          <w:szCs w:val="18"/>
          <w14:ligatures w14:val="standardContextual"/>
        </w:rPr>
        <w:t>Trajectoires et Origines 2</w:t>
      </w:r>
      <w:r w:rsidRPr="003673F1">
        <w:rPr>
          <w:rFonts w:eastAsia="Aptos" w:cs="Times New Roman"/>
          <w:kern w:val="2"/>
          <w:sz w:val="18"/>
          <w:szCs w:val="18"/>
          <w14:ligatures w14:val="standardContextual"/>
        </w:rPr>
        <w:t>. Ined Éditions.</w:t>
      </w:r>
    </w:p>
    <w:p w14:paraId="4E00D5AB"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Béliard, A., &amp; Eideliman, J.-S. (2009). Aux frontières du handicap psychique : Genèse et usages des catégories médico-administratives. </w:t>
      </w:r>
      <w:r w:rsidRPr="003673F1">
        <w:rPr>
          <w:rFonts w:eastAsia="Aptos" w:cs="Times New Roman"/>
          <w:i/>
          <w:iCs/>
          <w:kern w:val="2"/>
          <w:sz w:val="18"/>
          <w:szCs w:val="18"/>
          <w14:ligatures w14:val="standardContextual"/>
        </w:rPr>
        <w:t>Revue française des affaires sociales</w:t>
      </w:r>
      <w:r w:rsidRPr="003673F1">
        <w:rPr>
          <w:rFonts w:eastAsia="Aptos" w:cs="Times New Roman"/>
          <w:kern w:val="2"/>
          <w:sz w:val="18"/>
          <w:szCs w:val="18"/>
          <w14:ligatures w14:val="standardContextual"/>
        </w:rPr>
        <w:t xml:space="preserve">, 99–117. </w:t>
      </w:r>
      <w:hyperlink r:id="rId16" w:tgtFrame="_new" w:history="1">
        <w:r w:rsidRPr="003673F1">
          <w:rPr>
            <w:rFonts w:eastAsia="Aptos" w:cs="Times New Roman"/>
            <w:color w:val="467886"/>
            <w:kern w:val="2"/>
            <w:sz w:val="18"/>
            <w:szCs w:val="18"/>
            <w:u w:val="single"/>
            <w14:ligatures w14:val="standardContextual"/>
          </w:rPr>
          <w:t>https://doi.org/10.3917/rfas.091.0099</w:t>
        </w:r>
      </w:hyperlink>
    </w:p>
    <w:p w14:paraId="1111D2B9"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Bellahsen, M., Knaebel, R., &amp; Bellahsen, L. (collab.). (2020). </w:t>
      </w:r>
      <w:r w:rsidRPr="003673F1">
        <w:rPr>
          <w:rFonts w:eastAsia="Aptos" w:cs="Times New Roman"/>
          <w:i/>
          <w:iCs/>
          <w:kern w:val="2"/>
          <w:sz w:val="18"/>
          <w:szCs w:val="18"/>
          <w14:ligatures w14:val="standardContextual"/>
        </w:rPr>
        <w:t>La révolte de la psychiatrie. Les ripostes à la catastrophe gestionnaire</w:t>
      </w:r>
      <w:r w:rsidRPr="003673F1">
        <w:rPr>
          <w:rFonts w:eastAsia="Aptos" w:cs="Times New Roman"/>
          <w:kern w:val="2"/>
          <w:sz w:val="18"/>
          <w:szCs w:val="18"/>
          <w14:ligatures w14:val="standardContextual"/>
        </w:rPr>
        <w:t xml:space="preserve">. La Découverte. </w:t>
      </w:r>
      <w:hyperlink r:id="rId17" w:tgtFrame="_new" w:history="1">
        <w:r w:rsidRPr="003673F1">
          <w:rPr>
            <w:rFonts w:eastAsia="Aptos" w:cs="Times New Roman"/>
            <w:color w:val="467886"/>
            <w:kern w:val="2"/>
            <w:sz w:val="18"/>
            <w:szCs w:val="18"/>
            <w:u w:val="single"/>
            <w14:ligatures w14:val="standardContextual"/>
          </w:rPr>
          <w:t>https://doi.org/10.3917/dec.bella.2020.01</w:t>
        </w:r>
      </w:hyperlink>
    </w:p>
    <w:p w14:paraId="73CDAF4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Benamouzig, D., &amp; Ulrich, V. (2016). Avant-propos. </w:t>
      </w:r>
      <w:r w:rsidRPr="003673F1">
        <w:rPr>
          <w:rFonts w:eastAsia="Aptos" w:cs="Times New Roman"/>
          <w:i/>
          <w:iCs/>
          <w:kern w:val="2"/>
          <w:sz w:val="18"/>
          <w:szCs w:val="18"/>
          <w14:ligatures w14:val="standardContextual"/>
        </w:rPr>
        <w:t>Revue française des affaires sociales</w:t>
      </w:r>
      <w:r w:rsidRPr="003673F1">
        <w:rPr>
          <w:rFonts w:eastAsia="Aptos" w:cs="Times New Roman"/>
          <w:kern w:val="2"/>
          <w:sz w:val="18"/>
          <w:szCs w:val="18"/>
          <w14:ligatures w14:val="standardContextual"/>
        </w:rPr>
        <w:t xml:space="preserve">, (2), 7–19. </w:t>
      </w:r>
      <w:hyperlink r:id="rId18" w:tgtFrame="_new" w:history="1">
        <w:r w:rsidRPr="003673F1">
          <w:rPr>
            <w:rFonts w:eastAsia="Aptos" w:cs="Times New Roman"/>
            <w:color w:val="467886"/>
            <w:kern w:val="2"/>
            <w:sz w:val="18"/>
            <w:szCs w:val="18"/>
            <w:u w:val="single"/>
            <w14:ligatures w14:val="standardContextual"/>
          </w:rPr>
          <w:t>https://doi.org/10.3917/rfas.162.0007</w:t>
        </w:r>
      </w:hyperlink>
    </w:p>
    <w:p w14:paraId="34C9960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Bessin, M., Bidart, C., &amp; Grossetti, M. (2010). </w:t>
      </w:r>
      <w:r w:rsidRPr="003673F1">
        <w:rPr>
          <w:rFonts w:eastAsia="Aptos" w:cs="Times New Roman"/>
          <w:i/>
          <w:iCs/>
          <w:kern w:val="2"/>
          <w:sz w:val="18"/>
          <w:szCs w:val="18"/>
          <w14:ligatures w14:val="standardContextual"/>
        </w:rPr>
        <w:t>Bifurcations. Les sciences sociales face aux ruptures et à l’événement</w:t>
      </w:r>
      <w:r w:rsidRPr="003673F1">
        <w:rPr>
          <w:rFonts w:eastAsia="Aptos" w:cs="Times New Roman"/>
          <w:kern w:val="2"/>
          <w:sz w:val="18"/>
          <w:szCs w:val="18"/>
          <w14:ligatures w14:val="standardContextual"/>
        </w:rPr>
        <w:t>. La Découverte.</w:t>
      </w:r>
    </w:p>
    <w:p w14:paraId="348E3C2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Biarez, S. (2004). Une politique publique : La santé mentale (1970–2002). </w:t>
      </w:r>
      <w:r w:rsidRPr="003673F1">
        <w:rPr>
          <w:rFonts w:eastAsia="Aptos" w:cs="Times New Roman"/>
          <w:i/>
          <w:iCs/>
          <w:kern w:val="2"/>
          <w:sz w:val="18"/>
          <w:szCs w:val="18"/>
          <w14:ligatures w14:val="standardContextual"/>
        </w:rPr>
        <w:t>Revue française d’administration publique, 111</w:t>
      </w:r>
      <w:r w:rsidRPr="003673F1">
        <w:rPr>
          <w:rFonts w:eastAsia="Aptos" w:cs="Times New Roman"/>
          <w:kern w:val="2"/>
          <w:sz w:val="18"/>
          <w:szCs w:val="18"/>
          <w14:ligatures w14:val="standardContextual"/>
        </w:rPr>
        <w:t>(3), 517–531.</w:t>
      </w:r>
    </w:p>
    <w:p w14:paraId="4FA760D0"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Bouvet, M. (2024). L’anxiété de performance, un problème de cadres ? </w:t>
      </w:r>
      <w:r w:rsidRPr="003673F1">
        <w:rPr>
          <w:rFonts w:eastAsia="Aptos" w:cs="Times New Roman"/>
          <w:i/>
          <w:iCs/>
          <w:kern w:val="2"/>
          <w:sz w:val="18"/>
          <w:szCs w:val="18"/>
          <w14:ligatures w14:val="standardContextual"/>
        </w:rPr>
        <w:t>Rhizome</w:t>
      </w:r>
      <w:r w:rsidRPr="003673F1">
        <w:rPr>
          <w:rFonts w:eastAsia="Aptos" w:cs="Times New Roman"/>
          <w:kern w:val="2"/>
          <w:sz w:val="18"/>
          <w:szCs w:val="18"/>
          <w14:ligatures w14:val="standardContextual"/>
        </w:rPr>
        <w:t xml:space="preserve">, (90–91), 16–18. </w:t>
      </w:r>
      <w:hyperlink r:id="rId19" w:tgtFrame="_new" w:history="1">
        <w:r w:rsidRPr="003673F1">
          <w:rPr>
            <w:rFonts w:eastAsia="Aptos" w:cs="Times New Roman"/>
            <w:color w:val="467886"/>
            <w:kern w:val="2"/>
            <w:sz w:val="18"/>
            <w:szCs w:val="18"/>
            <w:u w:val="single"/>
            <w14:ligatures w14:val="standardContextual"/>
          </w:rPr>
          <w:t>https://doi.org/10.3917/rhiz.090.0016</w:t>
        </w:r>
      </w:hyperlink>
    </w:p>
    <w:p w14:paraId="6339FCE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Brossard, B. (2014). </w:t>
      </w:r>
      <w:r w:rsidRPr="003673F1">
        <w:rPr>
          <w:rFonts w:eastAsia="Aptos" w:cs="Times New Roman"/>
          <w:i/>
          <w:iCs/>
          <w:kern w:val="2"/>
          <w:sz w:val="18"/>
          <w:szCs w:val="18"/>
          <w14:ligatures w14:val="standardContextual"/>
        </w:rPr>
        <w:t>Se blesser soi-même. Une jeunesse autocontrôlée</w:t>
      </w:r>
      <w:r w:rsidRPr="003673F1">
        <w:rPr>
          <w:rFonts w:eastAsia="Aptos" w:cs="Times New Roman"/>
          <w:kern w:val="2"/>
          <w:sz w:val="18"/>
          <w:szCs w:val="18"/>
          <w14:ligatures w14:val="standardContextual"/>
        </w:rPr>
        <w:t>. Alma éditeur.</w:t>
      </w:r>
    </w:p>
    <w:p w14:paraId="42A9097B"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Brunn, M., Chelle, E., Blanchet, A., Briffault, X., Carrière, P., Cartailler, J., Colson, C., Falissard, B., Gandré, C., Gourevitch, G., Hazo, J. B., Loubières, C., Mallet, J., Mesmoudi, S., Musso, M., Or, Z., Petitjean, F., Robicquet, P., &amp; Auxéméry, Y. (2026). Santé mentale en tension : Enjeux épistémologiques, politiques et cliniques d’un espace fragmenté. </w:t>
      </w:r>
      <w:r w:rsidRPr="003673F1">
        <w:rPr>
          <w:rFonts w:eastAsia="Aptos" w:cs="Times New Roman"/>
          <w:i/>
          <w:iCs/>
          <w:kern w:val="2"/>
          <w:sz w:val="18"/>
          <w:szCs w:val="18"/>
          <w14:ligatures w14:val="standardContextual"/>
        </w:rPr>
        <w:t>Annales Médico-Psychologiques, Revue Psychiatrique, 184</w:t>
      </w:r>
      <w:r w:rsidRPr="003673F1">
        <w:rPr>
          <w:rFonts w:eastAsia="Aptos" w:cs="Times New Roman"/>
          <w:kern w:val="2"/>
          <w:sz w:val="18"/>
          <w:szCs w:val="18"/>
          <w14:ligatures w14:val="standardContextual"/>
        </w:rPr>
        <w:t>(4), 237–243.</w:t>
      </w:r>
    </w:p>
    <w:p w14:paraId="69DD9769"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Canetto, S. S. (1992). Gender and suicide in the elderly. </w:t>
      </w:r>
      <w:r w:rsidRPr="003673F1">
        <w:rPr>
          <w:rFonts w:eastAsia="Aptos" w:cs="Times New Roman"/>
          <w:i/>
          <w:iCs/>
          <w:kern w:val="2"/>
          <w:sz w:val="18"/>
          <w:szCs w:val="18"/>
          <w14:ligatures w14:val="standardContextual"/>
        </w:rPr>
        <w:t>Suicide and Life-Threatening Behavior, 22</w:t>
      </w:r>
      <w:r w:rsidRPr="003673F1">
        <w:rPr>
          <w:rFonts w:eastAsia="Aptos" w:cs="Times New Roman"/>
          <w:kern w:val="2"/>
          <w:sz w:val="18"/>
          <w:szCs w:val="18"/>
          <w14:ligatures w14:val="standardContextual"/>
        </w:rPr>
        <w:t>, 80–97.</w:t>
      </w:r>
    </w:p>
    <w:p w14:paraId="75068E4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Canetto, S. S., &amp; Sakinofsky, I. (1998). The gender paradox in suicide. </w:t>
      </w:r>
      <w:r w:rsidRPr="003673F1">
        <w:rPr>
          <w:rFonts w:eastAsia="Aptos" w:cs="Times New Roman"/>
          <w:i/>
          <w:iCs/>
          <w:kern w:val="2"/>
          <w:sz w:val="18"/>
          <w:szCs w:val="18"/>
          <w14:ligatures w14:val="standardContextual"/>
        </w:rPr>
        <w:t>Suicide and Life-Threatening Behavior, 28</w:t>
      </w:r>
      <w:r w:rsidRPr="003673F1">
        <w:rPr>
          <w:rFonts w:eastAsia="Aptos" w:cs="Times New Roman"/>
          <w:kern w:val="2"/>
          <w:sz w:val="18"/>
          <w:szCs w:val="18"/>
          <w14:ligatures w14:val="standardContextual"/>
        </w:rPr>
        <w:t>(1), 1–23.</w:t>
      </w:r>
    </w:p>
    <w:p w14:paraId="178D32A8"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Castel, R. (1981). </w:t>
      </w:r>
      <w:r w:rsidRPr="003673F1">
        <w:rPr>
          <w:rFonts w:eastAsia="Aptos" w:cs="Times New Roman"/>
          <w:i/>
          <w:iCs/>
          <w:kern w:val="2"/>
          <w:sz w:val="18"/>
          <w:szCs w:val="18"/>
          <w14:ligatures w14:val="standardContextual"/>
        </w:rPr>
        <w:t>La gestion des risques. De l’anti-psychiatrie à l’après-psychanalyse</w:t>
      </w:r>
      <w:r w:rsidRPr="003673F1">
        <w:rPr>
          <w:rFonts w:eastAsia="Aptos" w:cs="Times New Roman"/>
          <w:kern w:val="2"/>
          <w:sz w:val="18"/>
          <w:szCs w:val="18"/>
          <w14:ligatures w14:val="standardContextual"/>
        </w:rPr>
        <w:t>. Les Éditions de Minuit.</w:t>
      </w:r>
    </w:p>
    <w:p w14:paraId="1EDD0A0F"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Chambon, N., Picolet, É., &amp; Sorba, M. (2020). L’intervention sociale à l’épreuve d’une préoccupation pour la santé mentale : Mobilisation du rétablissement et politique de logement d’abord. </w:t>
      </w:r>
      <w:r w:rsidRPr="003673F1">
        <w:rPr>
          <w:rFonts w:eastAsia="Aptos" w:cs="Times New Roman"/>
          <w:i/>
          <w:iCs/>
          <w:kern w:val="2"/>
          <w:sz w:val="18"/>
          <w:szCs w:val="18"/>
          <w14:ligatures w14:val="standardContextual"/>
        </w:rPr>
        <w:t>Revue française des affaires sociales</w:t>
      </w:r>
      <w:r w:rsidRPr="003673F1">
        <w:rPr>
          <w:rFonts w:eastAsia="Aptos" w:cs="Times New Roman"/>
          <w:kern w:val="2"/>
          <w:sz w:val="18"/>
          <w:szCs w:val="18"/>
          <w14:ligatures w14:val="standardContextual"/>
        </w:rPr>
        <w:t xml:space="preserve">, (2), 97–116. </w:t>
      </w:r>
      <w:hyperlink r:id="rId20" w:tgtFrame="_new" w:history="1">
        <w:r w:rsidRPr="003673F1">
          <w:rPr>
            <w:rFonts w:eastAsia="Aptos" w:cs="Times New Roman"/>
            <w:color w:val="467886"/>
            <w:kern w:val="2"/>
            <w:sz w:val="18"/>
            <w:szCs w:val="18"/>
            <w:u w:val="single"/>
            <w14:ligatures w14:val="standardContextual"/>
          </w:rPr>
          <w:t>https://doi.org/10.3917/rfas.202.0097</w:t>
        </w:r>
      </w:hyperlink>
    </w:p>
    <w:p w14:paraId="20D7AFA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Chandler, A. (2024). Boys don't cry ? Phénoménologie critique, automutilation et suicide (C. Joseph, Trad.). </w:t>
      </w:r>
      <w:r w:rsidRPr="003673F1">
        <w:rPr>
          <w:rFonts w:eastAsia="Aptos" w:cs="Times New Roman"/>
          <w:i/>
          <w:iCs/>
          <w:kern w:val="2"/>
          <w:sz w:val="18"/>
          <w:szCs w:val="18"/>
          <w14:ligatures w14:val="standardContextual"/>
        </w:rPr>
        <w:t>Déviance et Société, 48</w:t>
      </w:r>
      <w:r w:rsidRPr="003673F1">
        <w:rPr>
          <w:rFonts w:eastAsia="Aptos" w:cs="Times New Roman"/>
          <w:kern w:val="2"/>
          <w:sz w:val="18"/>
          <w:szCs w:val="18"/>
          <w14:ligatures w14:val="standardContextual"/>
        </w:rPr>
        <w:t>(1), 179–204.</w:t>
      </w:r>
    </w:p>
    <w:p w14:paraId="0D7B4B9B"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Cleary, A. (2011). Suicidal action, emotional expression, and the performance of masculinities. </w:t>
      </w:r>
      <w:r w:rsidRPr="003673F1">
        <w:rPr>
          <w:rFonts w:eastAsia="Aptos" w:cs="Times New Roman"/>
          <w:i/>
          <w:iCs/>
          <w:kern w:val="2"/>
          <w:sz w:val="18"/>
          <w:szCs w:val="18"/>
          <w14:ligatures w14:val="standardContextual"/>
        </w:rPr>
        <w:t>Social Science &amp; Medicine, 72</w:t>
      </w:r>
      <w:r w:rsidRPr="003673F1">
        <w:rPr>
          <w:rFonts w:eastAsia="Aptos" w:cs="Times New Roman"/>
          <w:kern w:val="2"/>
          <w:sz w:val="18"/>
          <w:szCs w:val="18"/>
          <w14:ligatures w14:val="standardContextual"/>
        </w:rPr>
        <w:t>(4), 498–505.</w:t>
      </w:r>
    </w:p>
    <w:p w14:paraId="4E101EE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Coldefy, M. (2016). Les soins en psychiatrie : Organisation et évolutions législatives récentes. </w:t>
      </w:r>
      <w:r w:rsidRPr="003673F1">
        <w:rPr>
          <w:rFonts w:eastAsia="Aptos" w:cs="Times New Roman"/>
          <w:i/>
          <w:iCs/>
          <w:kern w:val="2"/>
          <w:sz w:val="18"/>
          <w:szCs w:val="18"/>
          <w14:ligatures w14:val="standardContextual"/>
        </w:rPr>
        <w:t>Revue française des affaires sociales</w:t>
      </w:r>
      <w:r w:rsidRPr="003673F1">
        <w:rPr>
          <w:rFonts w:eastAsia="Aptos" w:cs="Times New Roman"/>
          <w:kern w:val="2"/>
          <w:sz w:val="18"/>
          <w:szCs w:val="18"/>
          <w14:ligatures w14:val="standardContextual"/>
        </w:rPr>
        <w:t xml:space="preserve">, 2016-2, 21–30. </w:t>
      </w:r>
      <w:hyperlink r:id="rId21" w:tgtFrame="_new" w:history="1">
        <w:r w:rsidRPr="003673F1">
          <w:rPr>
            <w:rFonts w:eastAsia="Aptos" w:cs="Times New Roman"/>
            <w:color w:val="467886"/>
            <w:kern w:val="2"/>
            <w:sz w:val="18"/>
            <w:szCs w:val="18"/>
            <w:u w:val="single"/>
            <w14:ligatures w14:val="standardContextual"/>
          </w:rPr>
          <w:t>https://doi.org/10.3917/rfas.162.0021</w:t>
        </w:r>
      </w:hyperlink>
    </w:p>
    <w:p w14:paraId="5B7F249E"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Coldefy, M., &amp; Le Neindre, C. (2014). </w:t>
      </w:r>
      <w:r w:rsidRPr="003673F1">
        <w:rPr>
          <w:rFonts w:eastAsia="Aptos" w:cs="Times New Roman"/>
          <w:i/>
          <w:iCs/>
          <w:kern w:val="2"/>
          <w:sz w:val="18"/>
          <w:szCs w:val="18"/>
          <w14:ligatures w14:val="standardContextual"/>
        </w:rPr>
        <w:t>Les disparités territoriales d’offre et d’organisation des soins en psychiatrie en France : D’une vision segmentée à une approche systémique</w:t>
      </w:r>
      <w:r w:rsidRPr="003673F1">
        <w:rPr>
          <w:rFonts w:eastAsia="Aptos" w:cs="Times New Roman"/>
          <w:kern w:val="2"/>
          <w:sz w:val="18"/>
          <w:szCs w:val="18"/>
          <w14:ligatures w14:val="standardContextual"/>
        </w:rPr>
        <w:t xml:space="preserve"> (Les rapports de l’IRDES, n° 558).</w:t>
      </w:r>
    </w:p>
    <w:p w14:paraId="37AC95EB"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Coldefy, M., Gandré, C., &amp; Rallo, S. (2022). </w:t>
      </w:r>
      <w:r w:rsidRPr="003673F1">
        <w:rPr>
          <w:rFonts w:eastAsia="Aptos" w:cs="Times New Roman"/>
          <w:i/>
          <w:iCs/>
          <w:kern w:val="2"/>
          <w:sz w:val="18"/>
          <w:szCs w:val="18"/>
          <w14:ligatures w14:val="standardContextual"/>
        </w:rPr>
        <w:t>Les soins sans consentement et les pratiques privatives de liberté en psychiatrie : Un objectif de réduction qui reste à atteindre</w:t>
      </w:r>
      <w:r w:rsidRPr="003673F1">
        <w:rPr>
          <w:rFonts w:eastAsia="Aptos" w:cs="Times New Roman"/>
          <w:kern w:val="2"/>
          <w:sz w:val="18"/>
          <w:szCs w:val="18"/>
          <w14:ligatures w14:val="standardContextual"/>
        </w:rPr>
        <w:t xml:space="preserve">. </w:t>
      </w:r>
      <w:r w:rsidRPr="003673F1">
        <w:rPr>
          <w:rFonts w:eastAsia="Aptos" w:cs="Times New Roman"/>
          <w:i/>
          <w:iCs/>
          <w:kern w:val="2"/>
          <w:sz w:val="18"/>
          <w:szCs w:val="18"/>
          <w14:ligatures w14:val="standardContextual"/>
        </w:rPr>
        <w:t>Questions d’économie de la santé</w:t>
      </w:r>
      <w:r w:rsidRPr="003673F1">
        <w:rPr>
          <w:rFonts w:eastAsia="Aptos" w:cs="Times New Roman"/>
          <w:kern w:val="2"/>
          <w:sz w:val="18"/>
          <w:szCs w:val="18"/>
          <w14:ligatures w14:val="standardContextual"/>
        </w:rPr>
        <w:t xml:space="preserve"> (n° 269). IRDES.</w:t>
      </w:r>
    </w:p>
    <w:p w14:paraId="73002E0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Cottin-Marx, S. (2021). </w:t>
      </w:r>
      <w:r w:rsidRPr="003673F1">
        <w:rPr>
          <w:rFonts w:eastAsia="Aptos" w:cs="Times New Roman"/>
          <w:i/>
          <w:iCs/>
          <w:kern w:val="2"/>
          <w:sz w:val="18"/>
          <w:szCs w:val="18"/>
          <w14:ligatures w14:val="standardContextual"/>
        </w:rPr>
        <w:t>C’est pour la bonne cause ! Les désillusions du travail associatif</w:t>
      </w:r>
      <w:r w:rsidRPr="003673F1">
        <w:rPr>
          <w:rFonts w:eastAsia="Aptos" w:cs="Times New Roman"/>
          <w:kern w:val="2"/>
          <w:sz w:val="18"/>
          <w:szCs w:val="18"/>
          <w14:ligatures w14:val="standardContextual"/>
        </w:rPr>
        <w:t>. Les Éditions de l’Atelier.</w:t>
      </w:r>
    </w:p>
    <w:p w14:paraId="68F21A8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lastRenderedPageBreak/>
        <w:t xml:space="preserve">Cour des comptes. (2021). </w:t>
      </w:r>
      <w:r w:rsidRPr="003673F1">
        <w:rPr>
          <w:rFonts w:eastAsia="Aptos" w:cs="Times New Roman"/>
          <w:i/>
          <w:iCs/>
          <w:kern w:val="2"/>
          <w:sz w:val="18"/>
          <w:szCs w:val="18"/>
          <w14:ligatures w14:val="standardContextual"/>
        </w:rPr>
        <w:t>Les parcours dans l’organisation des soins de psychiatrie. Rapport public thématique</w:t>
      </w:r>
      <w:r w:rsidRPr="003673F1">
        <w:rPr>
          <w:rFonts w:eastAsia="Aptos" w:cs="Times New Roman"/>
          <w:kern w:val="2"/>
          <w:sz w:val="18"/>
          <w:szCs w:val="18"/>
          <w14:ligatures w14:val="standardContextual"/>
        </w:rPr>
        <w:t xml:space="preserve">. </w:t>
      </w:r>
      <w:hyperlink r:id="rId22" w:history="1">
        <w:r w:rsidRPr="003673F1">
          <w:rPr>
            <w:rFonts w:eastAsia="Aptos" w:cs="Times New Roman"/>
            <w:color w:val="467886"/>
            <w:kern w:val="2"/>
            <w:sz w:val="18"/>
            <w:szCs w:val="18"/>
            <w:u w:val="single"/>
            <w14:ligatures w14:val="standardContextual"/>
          </w:rPr>
          <w:t>Les parcours dans l’organisation des soins de psychiatrie | Cour des comptes</w:t>
        </w:r>
      </w:hyperlink>
    </w:p>
    <w:p w14:paraId="2AF0AD8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Cousteaux, A.-S., &amp; Pan Ké Shon, J.-L. (2008). Le mal-être a-t-il un genre ? Suicide, risque suicidaire, dépression et dépendance alcoolique. </w:t>
      </w:r>
      <w:r w:rsidRPr="003673F1">
        <w:rPr>
          <w:rFonts w:eastAsia="Aptos" w:cs="Times New Roman"/>
          <w:i/>
          <w:iCs/>
          <w:kern w:val="2"/>
          <w:sz w:val="18"/>
          <w:szCs w:val="18"/>
          <w14:ligatures w14:val="standardContextual"/>
        </w:rPr>
        <w:t>Revue française de sociologie, 49</w:t>
      </w:r>
      <w:r w:rsidRPr="003673F1">
        <w:rPr>
          <w:rFonts w:eastAsia="Aptos" w:cs="Times New Roman"/>
          <w:kern w:val="2"/>
          <w:sz w:val="18"/>
          <w:szCs w:val="18"/>
          <w14:ligatures w14:val="standardContextual"/>
        </w:rPr>
        <w:t>(1), 53–92.</w:t>
      </w:r>
    </w:p>
    <w:p w14:paraId="6E3E9B0A"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Coutant, I., &amp; Wang, S. (Éds.). (2018). </w:t>
      </w:r>
      <w:r w:rsidRPr="003673F1">
        <w:rPr>
          <w:rFonts w:eastAsia="Aptos" w:cs="Times New Roman"/>
          <w:i/>
          <w:iCs/>
          <w:kern w:val="2"/>
          <w:sz w:val="18"/>
          <w:szCs w:val="18"/>
          <w14:ligatures w14:val="standardContextual"/>
        </w:rPr>
        <w:t>Santé mentale et souffrance psychique : Un objet pour les sciences sociales</w:t>
      </w:r>
      <w:r w:rsidRPr="003673F1">
        <w:rPr>
          <w:rFonts w:eastAsia="Aptos" w:cs="Times New Roman"/>
          <w:kern w:val="2"/>
          <w:sz w:val="18"/>
          <w:szCs w:val="18"/>
          <w14:ligatures w14:val="standardContextual"/>
        </w:rPr>
        <w:t xml:space="preserve">. CNRS Éditions. </w:t>
      </w:r>
      <w:hyperlink r:id="rId23" w:tgtFrame="_new" w:history="1">
        <w:r w:rsidRPr="003673F1">
          <w:rPr>
            <w:rFonts w:eastAsia="Aptos" w:cs="Times New Roman"/>
            <w:color w:val="467886"/>
            <w:kern w:val="2"/>
            <w:sz w:val="18"/>
            <w:szCs w:val="18"/>
            <w:u w:val="single"/>
            <w14:ligatures w14:val="standardContextual"/>
          </w:rPr>
          <w:t>https://doi.org/10.3917/cnrs.wang.2018.01</w:t>
        </w:r>
      </w:hyperlink>
    </w:p>
    <w:p w14:paraId="72CEBDE6"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Da Silva, N., Alles, L., Batifoulier, P., Belorgey, N., &amp; Domin, J.-P. (2026). </w:t>
      </w:r>
      <w:r w:rsidRPr="003673F1">
        <w:rPr>
          <w:rFonts w:eastAsia="Aptos" w:cs="Times New Roman"/>
          <w:i/>
          <w:iCs/>
          <w:kern w:val="2"/>
          <w:sz w:val="18"/>
          <w:szCs w:val="18"/>
          <w14:ligatures w14:val="standardContextual"/>
        </w:rPr>
        <w:t>Les transformations des cliniques privées à but lucratif et des parcours de soins</w:t>
      </w:r>
      <w:r w:rsidRPr="003673F1">
        <w:rPr>
          <w:rFonts w:eastAsia="Aptos" w:cs="Times New Roman"/>
          <w:kern w:val="2"/>
          <w:sz w:val="18"/>
          <w:szCs w:val="18"/>
          <w14:ligatures w14:val="standardContextual"/>
        </w:rPr>
        <w:t>. Institut de recherches économiques et sociales (IRES).</w:t>
      </w:r>
    </w:p>
    <w:p w14:paraId="005816B9"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Darley, M., Lancelevée, C., &amp; Michalon, B. (2013). Où sont les murs ? Penser l’enfermement en sciences sociales. </w:t>
      </w:r>
      <w:r w:rsidRPr="003673F1">
        <w:rPr>
          <w:rFonts w:eastAsia="Aptos" w:cs="Times New Roman"/>
          <w:i/>
          <w:iCs/>
          <w:kern w:val="2"/>
          <w:sz w:val="18"/>
          <w:szCs w:val="18"/>
          <w14:ligatures w14:val="standardContextual"/>
        </w:rPr>
        <w:t>Cultures &amp; Conflits, 90</w:t>
      </w:r>
      <w:r w:rsidRPr="003673F1">
        <w:rPr>
          <w:rFonts w:eastAsia="Aptos" w:cs="Times New Roman"/>
          <w:kern w:val="2"/>
          <w:sz w:val="18"/>
          <w:szCs w:val="18"/>
          <w14:ligatures w14:val="standardContextual"/>
        </w:rPr>
        <w:t xml:space="preserve">(2), 7–20. </w:t>
      </w:r>
      <w:hyperlink r:id="rId24" w:tgtFrame="_new" w:history="1">
        <w:r w:rsidRPr="003673F1">
          <w:rPr>
            <w:rFonts w:eastAsia="Aptos" w:cs="Times New Roman"/>
            <w:color w:val="467886"/>
            <w:kern w:val="2"/>
            <w:sz w:val="18"/>
            <w:szCs w:val="18"/>
            <w:u w:val="single"/>
            <w14:ligatures w14:val="standardContextual"/>
          </w:rPr>
          <w:t>https://doi.org/10.4000/conflits.18703</w:t>
        </w:r>
      </w:hyperlink>
    </w:p>
    <w:p w14:paraId="4E6C558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de Champs, C., Guichard, H., &amp; Hazo, J.-B. (2025). Patients hospitalisés pour geste auto-infligé depuis 2010 : Une nette baisse chez les 30–60 ans, une hausse brutale chez les adolescentes et les jeunes femmes. Dans </w:t>
      </w:r>
      <w:r w:rsidRPr="003673F1">
        <w:rPr>
          <w:rFonts w:eastAsia="Aptos" w:cs="Times New Roman"/>
          <w:i/>
          <w:iCs/>
          <w:kern w:val="2"/>
          <w:sz w:val="18"/>
          <w:szCs w:val="18"/>
          <w14:ligatures w14:val="standardContextual"/>
        </w:rPr>
        <w:t>Suicide : Mal-être croissant des jeunes femmes et fin de vie. Penser les conduites suicidaires aux prismes de l’âge et du genre</w:t>
      </w:r>
      <w:r w:rsidRPr="003673F1">
        <w:rPr>
          <w:rFonts w:eastAsia="Aptos" w:cs="Times New Roman"/>
          <w:kern w:val="2"/>
          <w:sz w:val="18"/>
          <w:szCs w:val="18"/>
          <w14:ligatures w14:val="standardContextual"/>
        </w:rPr>
        <w:t xml:space="preserve"> (6e rapport de l’Observatoire national du suicide). Drees.</w:t>
      </w:r>
    </w:p>
    <w:p w14:paraId="2D1AF1B8"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Délégation de l’administration pénitentiaire (DAP). (2025). Chez les détenus, un taux de suicide en hausse mais de nouveaux dispositifs de prévention. Dans </w:t>
      </w:r>
      <w:r w:rsidRPr="003673F1">
        <w:rPr>
          <w:rFonts w:eastAsia="Aptos" w:cs="Times New Roman"/>
          <w:i/>
          <w:iCs/>
          <w:kern w:val="2"/>
          <w:sz w:val="18"/>
          <w:szCs w:val="18"/>
          <w14:ligatures w14:val="standardContextual"/>
        </w:rPr>
        <w:t>Suicide : Mal-être croissant des jeunes femmes et fin de vie. Penser les conduites suicidaires aux prismes de l’âge et du genre</w:t>
      </w:r>
      <w:r w:rsidRPr="003673F1">
        <w:rPr>
          <w:rFonts w:eastAsia="Aptos" w:cs="Times New Roman"/>
          <w:kern w:val="2"/>
          <w:sz w:val="18"/>
          <w:szCs w:val="18"/>
          <w14:ligatures w14:val="standardContextual"/>
        </w:rPr>
        <w:t xml:space="preserve"> (6e rapport de l’Observatoire national du suicide, pp. 229–237). Drees.</w:t>
      </w:r>
    </w:p>
    <w:p w14:paraId="7DB7EC7E"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Demailly, L. (2014). Variations de la « démocratie sanitaire » et politique publique de santé mentale en France. </w:t>
      </w:r>
      <w:r w:rsidRPr="003673F1">
        <w:rPr>
          <w:rFonts w:eastAsia="Aptos" w:cs="Times New Roman"/>
          <w:i/>
          <w:iCs/>
          <w:kern w:val="2"/>
          <w:sz w:val="18"/>
          <w:szCs w:val="18"/>
          <w14:ligatures w14:val="standardContextual"/>
        </w:rPr>
        <w:t>SociologieS</w:t>
      </w:r>
      <w:r w:rsidRPr="003673F1">
        <w:rPr>
          <w:rFonts w:eastAsia="Aptos" w:cs="Times New Roman"/>
          <w:kern w:val="2"/>
          <w:sz w:val="18"/>
          <w:szCs w:val="18"/>
          <w14:ligatures w14:val="standardContextual"/>
        </w:rPr>
        <w:t xml:space="preserve">. </w:t>
      </w:r>
      <w:hyperlink r:id="rId25" w:tgtFrame="_new" w:history="1">
        <w:r w:rsidRPr="003673F1">
          <w:rPr>
            <w:rFonts w:eastAsia="Aptos" w:cs="Times New Roman"/>
            <w:color w:val="467886"/>
            <w:kern w:val="2"/>
            <w:sz w:val="18"/>
            <w:szCs w:val="18"/>
            <w:u w:val="single"/>
            <w14:ligatures w14:val="standardContextual"/>
          </w:rPr>
          <w:t>http://journals.openedition.org/sociologies/4653</w:t>
        </w:r>
      </w:hyperlink>
    </w:p>
    <w:p w14:paraId="13F8970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Demailly, L., &amp; Autès, M. (Éds.). (2012). </w:t>
      </w:r>
      <w:r w:rsidRPr="003673F1">
        <w:rPr>
          <w:rFonts w:eastAsia="Aptos" w:cs="Times New Roman"/>
          <w:i/>
          <w:iCs/>
          <w:kern w:val="2"/>
          <w:sz w:val="18"/>
          <w:szCs w:val="18"/>
          <w14:ligatures w14:val="standardContextual"/>
        </w:rPr>
        <w:t>La politique de santé mentale en France. Acteurs, instruments, controverses</w:t>
      </w:r>
      <w:r w:rsidRPr="003673F1">
        <w:rPr>
          <w:rFonts w:eastAsia="Aptos" w:cs="Times New Roman"/>
          <w:kern w:val="2"/>
          <w:sz w:val="18"/>
          <w:szCs w:val="18"/>
          <w14:ligatures w14:val="standardContextual"/>
        </w:rPr>
        <w:t>. Armand Colin.</w:t>
      </w:r>
    </w:p>
    <w:p w14:paraId="42C5FDAB"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Demailly, L., Bélart, C., Le Roux, C. D., Dembinski, O., Farnarier, C., Garnoussi, N., &amp; Soulé, J. (2015). </w:t>
      </w:r>
      <w:r w:rsidRPr="003673F1">
        <w:rPr>
          <w:rFonts w:eastAsia="Aptos" w:cs="Times New Roman"/>
          <w:i/>
          <w:iCs/>
          <w:kern w:val="2"/>
          <w:sz w:val="18"/>
          <w:szCs w:val="18"/>
          <w14:ligatures w14:val="standardContextual"/>
        </w:rPr>
        <w:t>Le dispositif des médiateurs de santé pairs en santé mentale : Une innovation controversée. Rapport final de la recherche évaluative qualitative sur le programme expérimental 2012–2014</w:t>
      </w:r>
      <w:r w:rsidRPr="003673F1">
        <w:rPr>
          <w:rFonts w:eastAsia="Aptos" w:cs="Times New Roman"/>
          <w:kern w:val="2"/>
          <w:sz w:val="18"/>
          <w:szCs w:val="18"/>
          <w14:ligatures w14:val="standardContextual"/>
        </w:rPr>
        <w:t>.</w:t>
      </w:r>
    </w:p>
    <w:p w14:paraId="40A1701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Deneux-Tharaux, C., &amp; Saucedo, M. (2024). </w:t>
      </w:r>
      <w:r w:rsidRPr="003673F1">
        <w:rPr>
          <w:rFonts w:eastAsia="Aptos" w:cs="Times New Roman"/>
          <w:i/>
          <w:iCs/>
          <w:kern w:val="2"/>
          <w:sz w:val="18"/>
          <w:szCs w:val="18"/>
          <w14:ligatures w14:val="standardContextual"/>
        </w:rPr>
        <w:t>Les morts maternelles en France : Mieux comprendre pour mieux prévenir. 7e rapport de l’Enquête nationale confidentielle sur les morts maternelles (ENCMM), 2016–2018</w:t>
      </w:r>
      <w:r w:rsidRPr="003673F1">
        <w:rPr>
          <w:rFonts w:eastAsia="Aptos" w:cs="Times New Roman"/>
          <w:kern w:val="2"/>
          <w:sz w:val="18"/>
          <w:szCs w:val="18"/>
          <w14:ligatures w14:val="standardContextual"/>
        </w:rPr>
        <w:t xml:space="preserve">. Drees (Collection </w:t>
      </w:r>
      <w:r w:rsidRPr="003673F1">
        <w:rPr>
          <w:rFonts w:eastAsia="Aptos" w:cs="Times New Roman"/>
          <w:i/>
          <w:iCs/>
          <w:kern w:val="2"/>
          <w:sz w:val="18"/>
          <w:szCs w:val="18"/>
          <w14:ligatures w14:val="standardContextual"/>
        </w:rPr>
        <w:t>Études et enquêtes</w:t>
      </w:r>
      <w:r w:rsidRPr="003673F1">
        <w:rPr>
          <w:rFonts w:eastAsia="Aptos" w:cs="Times New Roman"/>
          <w:kern w:val="2"/>
          <w:sz w:val="18"/>
          <w:szCs w:val="18"/>
          <w14:ligatures w14:val="standardContextual"/>
        </w:rPr>
        <w:t>).</w:t>
      </w:r>
    </w:p>
    <w:p w14:paraId="0C555269"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Dietrich-Ragon, P., &amp; Loison-Leruste, M. (2023). Les « incasables » et l’escalier de Penrose. Les trajectoires institutionnelles des personnes privées de logement personnel. Communication présentée au </w:t>
      </w:r>
      <w:r w:rsidRPr="003673F1">
        <w:rPr>
          <w:rFonts w:eastAsia="Aptos" w:cs="Times New Roman"/>
          <w:i/>
          <w:iCs/>
          <w:kern w:val="2"/>
          <w:sz w:val="18"/>
          <w:szCs w:val="18"/>
          <w14:ligatures w14:val="standardContextual"/>
        </w:rPr>
        <w:t>Congrès de l’Association française de sociologie</w:t>
      </w:r>
      <w:r w:rsidRPr="003673F1">
        <w:rPr>
          <w:rFonts w:eastAsia="Aptos" w:cs="Times New Roman"/>
          <w:kern w:val="2"/>
          <w:sz w:val="18"/>
          <w:szCs w:val="18"/>
          <w14:ligatures w14:val="standardContextual"/>
        </w:rPr>
        <w:t>, RT3 « Normes, déviances et réactions sociales », Lyon.</w:t>
      </w:r>
    </w:p>
    <w:p w14:paraId="404740E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Direction de la recherche, des études, de l’évaluation et des statistiques. (2026). </w:t>
      </w:r>
      <w:r w:rsidRPr="003673F1">
        <w:rPr>
          <w:rFonts w:eastAsia="Aptos" w:cs="Times New Roman"/>
          <w:i/>
          <w:iCs/>
          <w:kern w:val="2"/>
          <w:sz w:val="18"/>
          <w:szCs w:val="18"/>
          <w14:ligatures w14:val="standardContextual"/>
        </w:rPr>
        <w:t>Les établissements de santé en 2024</w:t>
      </w:r>
      <w:r w:rsidRPr="003673F1">
        <w:rPr>
          <w:rFonts w:eastAsia="Aptos" w:cs="Times New Roman"/>
          <w:kern w:val="2"/>
          <w:sz w:val="18"/>
          <w:szCs w:val="18"/>
          <w14:ligatures w14:val="standardContextual"/>
        </w:rPr>
        <w:t xml:space="preserve"> (Panorama de la Drees, édition 2026).</w:t>
      </w:r>
    </w:p>
    <w:p w14:paraId="08912DE5"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Dodier, N. (2004). S’en remettre à un spécialiste. Contribution à une histoire politique de la délégation des soins. </w:t>
      </w:r>
      <w:r w:rsidRPr="003673F1">
        <w:rPr>
          <w:rFonts w:eastAsia="Aptos" w:cs="Times New Roman"/>
          <w:i/>
          <w:iCs/>
          <w:kern w:val="2"/>
          <w:sz w:val="18"/>
          <w:szCs w:val="18"/>
          <w14:ligatures w14:val="standardContextual"/>
        </w:rPr>
        <w:t>Handicap. Revue de sciences humaines et sociales</w:t>
      </w:r>
      <w:r w:rsidRPr="003673F1">
        <w:rPr>
          <w:rFonts w:eastAsia="Aptos" w:cs="Times New Roman"/>
          <w:kern w:val="2"/>
          <w:sz w:val="18"/>
          <w:szCs w:val="18"/>
          <w14:ligatures w14:val="standardContextual"/>
        </w:rPr>
        <w:t>, 104, 9–20.</w:t>
      </w:r>
    </w:p>
    <w:p w14:paraId="449A4D1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Doncarli, A., Tebeka, S., Demiguel, V., Lebreton, É., Deneux-Tharaux, C., Boudet-Berquier, J., et al. (2023). Prévalence de la dépression, de l’anxiété et des idées suicidaires à deux mois post-partum : Données de l’Enquête nationale périnatale 2021 en France hexagonale. </w:t>
      </w:r>
      <w:r w:rsidRPr="003673F1">
        <w:rPr>
          <w:rFonts w:eastAsia="Aptos" w:cs="Times New Roman"/>
          <w:i/>
          <w:iCs/>
          <w:kern w:val="2"/>
          <w:sz w:val="18"/>
          <w:szCs w:val="18"/>
          <w14:ligatures w14:val="standardContextual"/>
        </w:rPr>
        <w:t>Bulletin Épidémiologique Hebdomadaire</w:t>
      </w:r>
      <w:r w:rsidRPr="003673F1">
        <w:rPr>
          <w:rFonts w:eastAsia="Aptos" w:cs="Times New Roman"/>
          <w:kern w:val="2"/>
          <w:sz w:val="18"/>
          <w:szCs w:val="18"/>
          <w14:ligatures w14:val="standardContextual"/>
        </w:rPr>
        <w:t>, (18), 348–360.</w:t>
      </w:r>
    </w:p>
    <w:p w14:paraId="6E8CF75F" w14:textId="77777777" w:rsidR="00DC4B2F" w:rsidRPr="003673F1" w:rsidRDefault="00DC4B2F" w:rsidP="003673F1">
      <w:pPr>
        <w:suppressAutoHyphens w:val="0"/>
        <w:spacing w:after="160" w:line="259" w:lineRule="auto"/>
        <w:jc w:val="left"/>
        <w:rPr>
          <w:rFonts w:ascii="Aptos" w:eastAsia="Aptos" w:hAnsi="Aptos" w:cs="Times New Roman"/>
          <w:kern w:val="2"/>
          <w:sz w:val="20"/>
          <w:szCs w:val="20"/>
          <w14:ligatures w14:val="standardContextual"/>
        </w:rPr>
      </w:pPr>
      <w:r w:rsidRPr="003673F1">
        <w:rPr>
          <w:rFonts w:eastAsia="Aptos" w:cs="Times New Roman"/>
          <w:kern w:val="2"/>
          <w:sz w:val="18"/>
          <w:szCs w:val="18"/>
          <w14:ligatures w14:val="standardContextual"/>
        </w:rPr>
        <w:t xml:space="preserve">Drongiti, A. (2024). Se donner la mort comme un homme : Une analyse des suicides des appelés dans l’armée de terre grecque. </w:t>
      </w:r>
      <w:r w:rsidRPr="003673F1">
        <w:rPr>
          <w:rFonts w:eastAsia="Aptos" w:cs="Times New Roman"/>
          <w:i/>
          <w:iCs/>
          <w:kern w:val="2"/>
          <w:sz w:val="18"/>
          <w:szCs w:val="18"/>
          <w14:ligatures w14:val="standardContextual"/>
        </w:rPr>
        <w:t>Déviance et Société, 48</w:t>
      </w:r>
      <w:r w:rsidRPr="003673F1">
        <w:rPr>
          <w:rFonts w:eastAsia="Aptos" w:cs="Times New Roman"/>
          <w:kern w:val="2"/>
          <w:sz w:val="18"/>
          <w:szCs w:val="18"/>
          <w14:ligatures w14:val="standardContextual"/>
        </w:rPr>
        <w:t xml:space="preserve">(1), 21–51. </w:t>
      </w:r>
      <w:hyperlink r:id="rId26" w:tgtFrame="_new" w:history="1">
        <w:r w:rsidRPr="003673F1">
          <w:rPr>
            <w:rFonts w:eastAsia="Aptos" w:cs="Times New Roman"/>
            <w:color w:val="467886"/>
            <w:kern w:val="2"/>
            <w:sz w:val="18"/>
            <w:szCs w:val="18"/>
            <w:u w:val="single"/>
            <w14:ligatures w14:val="standardContextual"/>
          </w:rPr>
          <w:t>https://doi.org/10.3917/ds.481.0021</w:t>
        </w:r>
      </w:hyperlink>
    </w:p>
    <w:p w14:paraId="30FAED4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Dubreucq, J., Franck, N., Plasse, J., Muller, A. – E., Bralet, M.-C., Bera-Potelle, C., Berna, F., Blachère, C., Carpentier, A., Chereau, I., Chillet, P., Dubreucq, M., Durand-Zaleski, I., Chirio-Espitalier, M., Espi, P., Fourneret, P., Gabriel-Segard, T., Guioux, A., Green, A., Slade, M. (2025). Evaluation of a pro-recovery training intervention (REFOCUS-RETAFORM) in specialist mental health services across France: Stepped-wedge cluster randomised controlled trial protocol. </w:t>
      </w:r>
      <w:r w:rsidRPr="003673F1">
        <w:rPr>
          <w:rFonts w:eastAsia="Aptos" w:cs="Times New Roman"/>
          <w:i/>
          <w:iCs/>
          <w:kern w:val="2"/>
          <w:sz w:val="18"/>
          <w:szCs w:val="18"/>
          <w14:ligatures w14:val="standardContextual"/>
        </w:rPr>
        <w:t xml:space="preserve">BMC Psychiatry, 25 </w:t>
      </w:r>
      <w:r w:rsidRPr="003673F1">
        <w:rPr>
          <w:rFonts w:eastAsia="Aptos" w:cs="Times New Roman"/>
          <w:kern w:val="2"/>
          <w:sz w:val="18"/>
          <w:szCs w:val="18"/>
          <w14:ligatures w14:val="standardContextual"/>
        </w:rPr>
        <w:t>(1), Article 982.</w:t>
      </w:r>
    </w:p>
    <w:p w14:paraId="256E6B21"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Ehrenberg, A. (1995). </w:t>
      </w:r>
      <w:r w:rsidRPr="003673F1">
        <w:rPr>
          <w:rFonts w:eastAsia="Aptos" w:cs="Times New Roman"/>
          <w:i/>
          <w:iCs/>
          <w:kern w:val="2"/>
          <w:sz w:val="18"/>
          <w:szCs w:val="18"/>
          <w14:ligatures w14:val="standardContextual"/>
        </w:rPr>
        <w:t>L’individu incertain</w:t>
      </w:r>
      <w:r w:rsidRPr="003673F1">
        <w:rPr>
          <w:rFonts w:eastAsia="Aptos" w:cs="Times New Roman"/>
          <w:kern w:val="2"/>
          <w:sz w:val="18"/>
          <w:szCs w:val="18"/>
          <w14:ligatures w14:val="standardContextual"/>
        </w:rPr>
        <w:t>. Hachette.</w:t>
      </w:r>
    </w:p>
    <w:p w14:paraId="1810A7C2"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Ehrenberg, A. (1998). </w:t>
      </w:r>
      <w:r w:rsidRPr="003673F1">
        <w:rPr>
          <w:rFonts w:eastAsia="Aptos" w:cs="Times New Roman"/>
          <w:i/>
          <w:iCs/>
          <w:kern w:val="2"/>
          <w:sz w:val="18"/>
          <w:szCs w:val="18"/>
          <w14:ligatures w14:val="standardContextual"/>
        </w:rPr>
        <w:t>La fatigue d’être soi</w:t>
      </w:r>
      <w:r w:rsidRPr="003673F1">
        <w:rPr>
          <w:rFonts w:eastAsia="Aptos" w:cs="Times New Roman"/>
          <w:kern w:val="2"/>
          <w:sz w:val="18"/>
          <w:szCs w:val="18"/>
          <w14:ligatures w14:val="standardContextual"/>
        </w:rPr>
        <w:t>. Odile Jacob.</w:t>
      </w:r>
    </w:p>
    <w:p w14:paraId="52007DF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Einhorn, L. (2018). </w:t>
      </w:r>
      <w:r w:rsidRPr="003673F1">
        <w:rPr>
          <w:rFonts w:eastAsia="Aptos" w:cs="Times New Roman"/>
          <w:i/>
          <w:iCs/>
          <w:kern w:val="2"/>
          <w:sz w:val="18"/>
          <w:szCs w:val="18"/>
          <w14:ligatures w14:val="standardContextual"/>
        </w:rPr>
        <w:t>Parcours d’hébergement et santé mentale : Une étude dans les CHRS de l’Ain</w:t>
      </w:r>
      <w:r w:rsidRPr="003673F1">
        <w:rPr>
          <w:rFonts w:eastAsia="Aptos" w:cs="Times New Roman"/>
          <w:kern w:val="2"/>
          <w:sz w:val="18"/>
          <w:szCs w:val="18"/>
          <w14:ligatures w14:val="standardContextual"/>
        </w:rPr>
        <w:t>. Orspere-Samdarra.</w:t>
      </w:r>
    </w:p>
    <w:p w14:paraId="77EE3BCF"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lastRenderedPageBreak/>
        <w:t xml:space="preserve">Eyraud, B., &amp; Moreau, D. (2013). Formes et régulations de l’enfermement psychiatrique : De la création de l’asile aux nouvelles unités sécurisées, l’exemple de l’hôpital du Vinatier. </w:t>
      </w:r>
      <w:r w:rsidRPr="003673F1">
        <w:rPr>
          <w:rFonts w:eastAsia="Aptos" w:cs="Times New Roman"/>
          <w:i/>
          <w:iCs/>
          <w:kern w:val="2"/>
          <w:sz w:val="18"/>
          <w:szCs w:val="18"/>
          <w14:ligatures w14:val="standardContextual"/>
        </w:rPr>
        <w:t>Cultures &amp; Conflits, 90</w:t>
      </w:r>
      <w:r w:rsidRPr="003673F1">
        <w:rPr>
          <w:rFonts w:eastAsia="Aptos" w:cs="Times New Roman"/>
          <w:kern w:val="2"/>
          <w:sz w:val="18"/>
          <w:szCs w:val="18"/>
          <w14:ligatures w14:val="standardContextual"/>
        </w:rPr>
        <w:t xml:space="preserve">(2), 117–134. </w:t>
      </w:r>
      <w:hyperlink r:id="rId27" w:tgtFrame="_new" w:history="1">
        <w:r w:rsidRPr="003673F1">
          <w:rPr>
            <w:rFonts w:eastAsia="Aptos" w:cs="Times New Roman"/>
            <w:color w:val="467886"/>
            <w:kern w:val="2"/>
            <w:sz w:val="18"/>
            <w:szCs w:val="18"/>
            <w:u w:val="single"/>
            <w14:ligatures w14:val="standardContextual"/>
          </w:rPr>
          <w:t>https://doi.org/10.4000/conflits.18751</w:t>
        </w:r>
      </w:hyperlink>
    </w:p>
    <w:p w14:paraId="0979596E"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Fansten, M., &amp; Garnoussi, N. (2025). Éco-anxiété. Dans A. Estève, S. Ollitrault, A. Orsini, S. Persico, B. Villalba, &amp; M. Allain (Éds.), </w:t>
      </w:r>
      <w:r w:rsidRPr="003673F1">
        <w:rPr>
          <w:rFonts w:eastAsia="Aptos" w:cs="Times New Roman"/>
          <w:i/>
          <w:iCs/>
          <w:kern w:val="2"/>
          <w:sz w:val="18"/>
          <w:szCs w:val="18"/>
          <w14:ligatures w14:val="standardContextual"/>
        </w:rPr>
        <w:t>Dictionnaire d’écologie politique</w:t>
      </w:r>
      <w:r w:rsidRPr="003673F1">
        <w:rPr>
          <w:rFonts w:eastAsia="Aptos" w:cs="Times New Roman"/>
          <w:kern w:val="2"/>
          <w:sz w:val="18"/>
          <w:szCs w:val="18"/>
          <w14:ligatures w14:val="standardContextual"/>
        </w:rPr>
        <w:t xml:space="preserve"> (pp. 183–187). Presses de Sciences Po. </w:t>
      </w:r>
      <w:hyperlink r:id="rId28" w:history="1">
        <w:r w:rsidRPr="003673F1">
          <w:rPr>
            <w:rFonts w:eastAsia="Aptos" w:cs="Times New Roman"/>
            <w:color w:val="467886"/>
            <w:kern w:val="2"/>
            <w:sz w:val="18"/>
            <w:szCs w:val="18"/>
            <w:u w:val="single"/>
            <w14:ligatures w14:val="standardContextual"/>
          </w:rPr>
          <w:t>https://doi.org/10.3917/scpo.estev.2025.01.0183</w:t>
        </w:r>
      </w:hyperlink>
    </w:p>
    <w:p w14:paraId="0F6893BA"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Fassin, D. (2006). Souffrir par le social, gouverner par l’écoute : Une configuration sémantique de l’action publique. </w:t>
      </w:r>
      <w:r w:rsidRPr="003673F1">
        <w:rPr>
          <w:rFonts w:eastAsia="Aptos" w:cs="Times New Roman"/>
          <w:i/>
          <w:iCs/>
          <w:kern w:val="2"/>
          <w:sz w:val="18"/>
          <w:szCs w:val="18"/>
          <w14:ligatures w14:val="standardContextual"/>
        </w:rPr>
        <w:t xml:space="preserve">Politix, 19 </w:t>
      </w:r>
      <w:r w:rsidRPr="003673F1">
        <w:rPr>
          <w:rFonts w:eastAsia="Aptos" w:cs="Times New Roman"/>
          <w:kern w:val="2"/>
          <w:sz w:val="18"/>
          <w:szCs w:val="18"/>
          <w14:ligatures w14:val="standardContextual"/>
        </w:rPr>
        <w:t xml:space="preserve">(73), 137–157. </w:t>
      </w:r>
      <w:hyperlink r:id="rId29" w:tgtFrame="_new" w:history="1">
        <w:r w:rsidRPr="003673F1">
          <w:rPr>
            <w:rFonts w:eastAsia="Aptos" w:cs="Times New Roman"/>
            <w:color w:val="467886"/>
            <w:kern w:val="2"/>
            <w:sz w:val="18"/>
            <w:szCs w:val="18"/>
            <w:u w:val="single"/>
            <w14:ligatures w14:val="standardContextual"/>
          </w:rPr>
          <w:t>https://doi.org/10.3917/pox.073.0137</w:t>
        </w:r>
      </w:hyperlink>
    </w:p>
    <w:p w14:paraId="39F7F3FA"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Fassin, D., &amp; Rechtman, R. (2007). </w:t>
      </w:r>
      <w:r w:rsidRPr="003673F1">
        <w:rPr>
          <w:rFonts w:eastAsia="Aptos" w:cs="Times New Roman"/>
          <w:i/>
          <w:iCs/>
          <w:kern w:val="2"/>
          <w:sz w:val="18"/>
          <w:szCs w:val="18"/>
          <w14:ligatures w14:val="standardContextual"/>
        </w:rPr>
        <w:t>L’empire du traumatisme</w:t>
      </w:r>
      <w:r w:rsidRPr="003673F1">
        <w:rPr>
          <w:rFonts w:eastAsia="Aptos" w:cs="Times New Roman"/>
          <w:kern w:val="2"/>
          <w:sz w:val="18"/>
          <w:szCs w:val="18"/>
          <w14:ligatures w14:val="standardContextual"/>
        </w:rPr>
        <w:t>. Flammarion.</w:t>
      </w:r>
    </w:p>
    <w:p w14:paraId="78579A81"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Foucault, M. (2003). </w:t>
      </w:r>
      <w:r w:rsidRPr="003673F1">
        <w:rPr>
          <w:rFonts w:eastAsia="Aptos" w:cs="Times New Roman"/>
          <w:i/>
          <w:iCs/>
          <w:kern w:val="2"/>
          <w:sz w:val="18"/>
          <w:szCs w:val="18"/>
          <w14:ligatures w14:val="standardContextual"/>
        </w:rPr>
        <w:t>Le pouvoir psychiatrique : Cours au Collège de France (1973–1974)</w:t>
      </w:r>
      <w:r w:rsidRPr="003673F1">
        <w:rPr>
          <w:rFonts w:eastAsia="Aptos" w:cs="Times New Roman"/>
          <w:kern w:val="2"/>
          <w:sz w:val="18"/>
          <w:szCs w:val="18"/>
          <w14:ligatures w14:val="standardContextual"/>
        </w:rPr>
        <w:t>. Seuil/Gallimard.</w:t>
      </w:r>
    </w:p>
    <w:p w14:paraId="53CF3B2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Furtos, J. (2002). </w:t>
      </w:r>
      <w:r w:rsidRPr="003673F1">
        <w:rPr>
          <w:rFonts w:eastAsia="Aptos" w:cs="Times New Roman"/>
          <w:i/>
          <w:iCs/>
          <w:kern w:val="2"/>
          <w:sz w:val="18"/>
          <w:szCs w:val="18"/>
          <w14:ligatures w14:val="standardContextual"/>
        </w:rPr>
        <w:t>Le syndrome d’auto-exclusion</w:t>
      </w:r>
      <w:r w:rsidRPr="003673F1">
        <w:rPr>
          <w:rFonts w:eastAsia="Aptos" w:cs="Times New Roman"/>
          <w:kern w:val="2"/>
          <w:sz w:val="18"/>
          <w:szCs w:val="18"/>
          <w14:ligatures w14:val="standardContextual"/>
        </w:rPr>
        <w:t>. Rhizome n° 9, sept. 2002.</w:t>
      </w:r>
    </w:p>
    <w:p w14:paraId="501D1D69" w14:textId="77777777" w:rsidR="00DC4B2F" w:rsidRPr="003673F1" w:rsidRDefault="00DC4B2F" w:rsidP="003673F1">
      <w:pPr>
        <w:suppressAutoHyphens w:val="0"/>
        <w:spacing w:after="160" w:line="259" w:lineRule="auto"/>
        <w:jc w:val="left"/>
        <w:rPr>
          <w:rFonts w:ascii="Aptos" w:eastAsia="Aptos" w:hAnsi="Aptos" w:cs="Times New Roman"/>
          <w:kern w:val="2"/>
          <w:sz w:val="20"/>
          <w:szCs w:val="20"/>
          <w14:ligatures w14:val="standardContextual"/>
        </w:rPr>
      </w:pPr>
      <w:r w:rsidRPr="003673F1">
        <w:rPr>
          <w:rFonts w:eastAsia="Aptos" w:cs="Times New Roman"/>
          <w:kern w:val="2"/>
          <w:sz w:val="18"/>
          <w:szCs w:val="18"/>
          <w14:ligatures w14:val="standardContextual"/>
        </w:rPr>
        <w:t xml:space="preserve">Gardien, È. (Éd.). (2021). </w:t>
      </w:r>
      <w:r w:rsidRPr="003673F1">
        <w:rPr>
          <w:rFonts w:eastAsia="Aptos" w:cs="Times New Roman"/>
          <w:i/>
          <w:iCs/>
          <w:kern w:val="2"/>
          <w:sz w:val="18"/>
          <w:szCs w:val="18"/>
          <w14:ligatures w14:val="standardContextual"/>
        </w:rPr>
        <w:t>L’accompagnement par les pairs : Enjeux de participation et de professionnalisation</w:t>
      </w:r>
      <w:r w:rsidRPr="003673F1">
        <w:rPr>
          <w:rFonts w:eastAsia="Aptos" w:cs="Times New Roman"/>
          <w:kern w:val="2"/>
          <w:sz w:val="18"/>
          <w:szCs w:val="18"/>
          <w14:ligatures w14:val="standardContextual"/>
        </w:rPr>
        <w:t xml:space="preserve">. Presses universitaires de Grenoble. </w:t>
      </w:r>
      <w:hyperlink r:id="rId30" w:tgtFrame="_new" w:history="1">
        <w:r w:rsidRPr="003673F1">
          <w:rPr>
            <w:rFonts w:eastAsia="Aptos" w:cs="Times New Roman"/>
            <w:color w:val="467886"/>
            <w:kern w:val="2"/>
            <w:sz w:val="18"/>
            <w:szCs w:val="18"/>
            <w:u w:val="single"/>
            <w14:ligatures w14:val="standardContextual"/>
          </w:rPr>
          <w:t>https://doi.org/10.3917/pug.gardi.2021.01</w:t>
        </w:r>
      </w:hyperlink>
    </w:p>
    <w:p w14:paraId="07FE219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Garrec, I. et Vuattoux, A. (2024). Introduction Interroger la crise de santé mentale des jeunes par le biais des ressources et de leur appropriation. Agora débats/jeunesses, 97(2), 46-55. </w:t>
      </w:r>
      <w:hyperlink r:id="rId31" w:history="1">
        <w:r w:rsidRPr="003673F1">
          <w:rPr>
            <w:rFonts w:eastAsia="Aptos" w:cs="Times New Roman"/>
            <w:color w:val="467886"/>
            <w:kern w:val="2"/>
            <w:sz w:val="18"/>
            <w:szCs w:val="18"/>
            <w:u w:val="single"/>
            <w14:ligatures w14:val="standardContextual"/>
          </w:rPr>
          <w:t>https://doi.org/10.3917/agora.097.0046</w:t>
        </w:r>
      </w:hyperlink>
      <w:r w:rsidRPr="003673F1">
        <w:rPr>
          <w:rFonts w:eastAsia="Aptos" w:cs="Times New Roman"/>
          <w:kern w:val="2"/>
          <w:sz w:val="18"/>
          <w:szCs w:val="18"/>
          <w14:ligatures w14:val="standardContextual"/>
        </w:rPr>
        <w:t>.</w:t>
      </w:r>
    </w:p>
    <w:p w14:paraId="3B5C16B1"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Haidt, J. (2024). </w:t>
      </w:r>
      <w:r w:rsidRPr="003673F1">
        <w:rPr>
          <w:rFonts w:eastAsia="Aptos" w:cs="Times New Roman"/>
          <w:i/>
          <w:iCs/>
          <w:kern w:val="2"/>
          <w:sz w:val="18"/>
          <w:szCs w:val="18"/>
          <w14:ligatures w14:val="standardContextual"/>
        </w:rPr>
        <w:t>The anxious generation: How the great rewiring of childhood is causing an epidemic of mental illness</w:t>
      </w:r>
      <w:r w:rsidRPr="003673F1">
        <w:rPr>
          <w:rFonts w:eastAsia="Aptos" w:cs="Times New Roman"/>
          <w:kern w:val="2"/>
          <w:sz w:val="18"/>
          <w:szCs w:val="18"/>
          <w14:ligatures w14:val="standardContextual"/>
        </w:rPr>
        <w:t>. Penguin.</w:t>
      </w:r>
    </w:p>
    <w:p w14:paraId="56DF66E8"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Hazo, J.-B. (2025). </w:t>
      </w:r>
      <w:r w:rsidRPr="003673F1">
        <w:rPr>
          <w:rFonts w:eastAsia="Aptos" w:cs="Times New Roman"/>
          <w:i/>
          <w:iCs/>
          <w:kern w:val="2"/>
          <w:sz w:val="18"/>
          <w:szCs w:val="18"/>
          <w14:ligatures w14:val="standardContextual"/>
        </w:rPr>
        <w:t>Santé mentale : Un état des lieux au regard de la situation financière, de l’orientation sexuelle et des discriminations subies</w:t>
      </w:r>
      <w:r w:rsidRPr="003673F1">
        <w:rPr>
          <w:rFonts w:eastAsia="Aptos" w:cs="Times New Roman"/>
          <w:kern w:val="2"/>
          <w:sz w:val="18"/>
          <w:szCs w:val="18"/>
          <w14:ligatures w14:val="standardContextual"/>
        </w:rPr>
        <w:t xml:space="preserve"> (</w:t>
      </w:r>
      <w:r w:rsidRPr="003673F1">
        <w:rPr>
          <w:rFonts w:eastAsia="Aptos" w:cs="Times New Roman"/>
          <w:i/>
          <w:iCs/>
          <w:kern w:val="2"/>
          <w:sz w:val="18"/>
          <w:szCs w:val="18"/>
          <w14:ligatures w14:val="standardContextual"/>
        </w:rPr>
        <w:t>Études et Résultats</w:t>
      </w:r>
      <w:r w:rsidRPr="003673F1">
        <w:rPr>
          <w:rFonts w:eastAsia="Aptos" w:cs="Times New Roman"/>
          <w:kern w:val="2"/>
          <w:sz w:val="18"/>
          <w:szCs w:val="18"/>
          <w14:ligatures w14:val="standardContextual"/>
        </w:rPr>
        <w:t>, n° 1340). Drees.</w:t>
      </w:r>
    </w:p>
    <w:p w14:paraId="537BAD9E"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Hazo, J. – B., Aubain, L., &amp; Cadillac, M. (2026). </w:t>
      </w:r>
      <w:r w:rsidRPr="003673F1">
        <w:rPr>
          <w:rFonts w:eastAsia="Aptos" w:cs="Times New Roman"/>
          <w:i/>
          <w:iCs/>
          <w:kern w:val="2"/>
          <w:sz w:val="18"/>
          <w:szCs w:val="18"/>
          <w14:ligatures w14:val="standardContextual"/>
        </w:rPr>
        <w:t>Le suicide, trois fois plus fréquent chez les hommes, deux fois plus chez les plus modestes</w:t>
      </w:r>
      <w:r w:rsidRPr="003673F1">
        <w:rPr>
          <w:rFonts w:eastAsia="Aptos" w:cs="Times New Roman"/>
          <w:kern w:val="2"/>
          <w:sz w:val="18"/>
          <w:szCs w:val="18"/>
          <w14:ligatures w14:val="standardContextual"/>
        </w:rPr>
        <w:t xml:space="preserve"> (</w:t>
      </w:r>
      <w:r w:rsidRPr="003673F1">
        <w:rPr>
          <w:rFonts w:eastAsia="Aptos" w:cs="Times New Roman"/>
          <w:i/>
          <w:iCs/>
          <w:kern w:val="2"/>
          <w:sz w:val="18"/>
          <w:szCs w:val="18"/>
          <w14:ligatures w14:val="standardContextual"/>
        </w:rPr>
        <w:t>Études et Résultats</w:t>
      </w:r>
      <w:r w:rsidRPr="003673F1">
        <w:rPr>
          <w:rFonts w:eastAsia="Aptos" w:cs="Times New Roman"/>
          <w:kern w:val="2"/>
          <w:sz w:val="18"/>
          <w:szCs w:val="18"/>
          <w14:ligatures w14:val="standardContextual"/>
        </w:rPr>
        <w:t>, n° 1364). Drees.</w:t>
      </w:r>
    </w:p>
    <w:p w14:paraId="4AC07059"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Hazo, J.-B., et al. (2021). </w:t>
      </w:r>
      <w:r w:rsidRPr="003673F1">
        <w:rPr>
          <w:rFonts w:eastAsia="Aptos" w:cs="Times New Roman"/>
          <w:i/>
          <w:iCs/>
          <w:kern w:val="2"/>
          <w:sz w:val="18"/>
          <w:szCs w:val="18"/>
          <w14:ligatures w14:val="standardContextual"/>
        </w:rPr>
        <w:t>Une dégradation de la santé mentale chez les jeunes en 2020 : Résultats issus de la 2e vague de l’enquête EpiCov</w:t>
      </w:r>
      <w:r w:rsidRPr="003673F1">
        <w:rPr>
          <w:rFonts w:eastAsia="Aptos" w:cs="Times New Roman"/>
          <w:kern w:val="2"/>
          <w:sz w:val="18"/>
          <w:szCs w:val="18"/>
          <w14:ligatures w14:val="standardContextual"/>
        </w:rPr>
        <w:t xml:space="preserve"> (</w:t>
      </w:r>
      <w:r w:rsidRPr="003673F1">
        <w:rPr>
          <w:rFonts w:eastAsia="Aptos" w:cs="Times New Roman"/>
          <w:i/>
          <w:iCs/>
          <w:kern w:val="2"/>
          <w:sz w:val="18"/>
          <w:szCs w:val="18"/>
          <w14:ligatures w14:val="standardContextual"/>
        </w:rPr>
        <w:t>Études et Résultats</w:t>
      </w:r>
      <w:r w:rsidRPr="003673F1">
        <w:rPr>
          <w:rFonts w:eastAsia="Aptos" w:cs="Times New Roman"/>
          <w:kern w:val="2"/>
          <w:sz w:val="18"/>
          <w:szCs w:val="18"/>
          <w14:ligatures w14:val="standardContextual"/>
        </w:rPr>
        <w:t>, n° 1210). Drees.</w:t>
      </w:r>
    </w:p>
    <w:p w14:paraId="53A2DA0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Henckes, N., &amp; Majerus, B. (2022). </w:t>
      </w:r>
      <w:r w:rsidRPr="003673F1">
        <w:rPr>
          <w:rFonts w:eastAsia="Aptos" w:cs="Times New Roman"/>
          <w:i/>
          <w:iCs/>
          <w:kern w:val="2"/>
          <w:sz w:val="18"/>
          <w:szCs w:val="18"/>
          <w14:ligatures w14:val="standardContextual"/>
        </w:rPr>
        <w:t>Maladies mentales et sociétés : XIXe–XXIe siècle</w:t>
      </w:r>
      <w:r w:rsidRPr="003673F1">
        <w:rPr>
          <w:rFonts w:eastAsia="Aptos" w:cs="Times New Roman"/>
          <w:kern w:val="2"/>
          <w:sz w:val="18"/>
          <w:szCs w:val="18"/>
          <w14:ligatures w14:val="standardContextual"/>
        </w:rPr>
        <w:t xml:space="preserve">. La Découverte. </w:t>
      </w:r>
      <w:hyperlink r:id="rId32" w:tgtFrame="_new" w:history="1">
        <w:r w:rsidRPr="003673F1">
          <w:rPr>
            <w:rFonts w:eastAsia="Aptos" w:cs="Times New Roman"/>
            <w:color w:val="467886"/>
            <w:kern w:val="2"/>
            <w:sz w:val="18"/>
            <w:szCs w:val="18"/>
            <w:u w:val="single"/>
            <w14:ligatures w14:val="standardContextual"/>
          </w:rPr>
          <w:t>https://doi.org/10.3917/dec.henck.2022.01</w:t>
        </w:r>
      </w:hyperlink>
    </w:p>
    <w:p w14:paraId="2993144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Illouz, E. (2008). </w:t>
      </w:r>
      <w:r w:rsidRPr="003673F1">
        <w:rPr>
          <w:rFonts w:eastAsia="Aptos" w:cs="Times New Roman"/>
          <w:i/>
          <w:iCs/>
          <w:kern w:val="2"/>
          <w:sz w:val="18"/>
          <w:szCs w:val="18"/>
          <w14:ligatures w14:val="standardContextual"/>
        </w:rPr>
        <w:t>Saving the modern soul: Therapy, emotions, and the culture of self-help</w:t>
      </w:r>
      <w:r w:rsidRPr="003673F1">
        <w:rPr>
          <w:rFonts w:eastAsia="Aptos" w:cs="Times New Roman"/>
          <w:kern w:val="2"/>
          <w:sz w:val="18"/>
          <w:szCs w:val="18"/>
          <w14:ligatures w14:val="standardContextual"/>
        </w:rPr>
        <w:t>. University of California Press.</w:t>
      </w:r>
    </w:p>
    <w:p w14:paraId="0A7D2064"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Jonchery, A., Charruault, A., &amp; Louguet, A. (Éds.). (2025). </w:t>
      </w:r>
      <w:r w:rsidRPr="003673F1">
        <w:rPr>
          <w:rFonts w:eastAsia="Aptos" w:cs="Times New Roman"/>
          <w:i/>
          <w:iCs/>
          <w:kern w:val="2"/>
          <w:sz w:val="18"/>
          <w:szCs w:val="18"/>
          <w14:ligatures w14:val="standardContextual"/>
        </w:rPr>
        <w:t>Pratiques culturelles juvéniles et régulations familiales : Les médias sociaux et leurs usages</w:t>
      </w:r>
      <w:r w:rsidRPr="003673F1">
        <w:rPr>
          <w:rFonts w:eastAsia="Aptos" w:cs="Times New Roman"/>
          <w:kern w:val="2"/>
          <w:sz w:val="18"/>
          <w:szCs w:val="18"/>
          <w14:ligatures w14:val="standardContextual"/>
        </w:rPr>
        <w:t xml:space="preserve">. </w:t>
      </w:r>
      <w:r w:rsidRPr="003673F1">
        <w:rPr>
          <w:rFonts w:eastAsia="Aptos" w:cs="Times New Roman"/>
          <w:i/>
          <w:iCs/>
          <w:kern w:val="2"/>
          <w:sz w:val="18"/>
          <w:szCs w:val="18"/>
          <w14:ligatures w14:val="standardContextual"/>
        </w:rPr>
        <w:t>Agora débats/jeunesses</w:t>
      </w:r>
      <w:r w:rsidRPr="003673F1">
        <w:rPr>
          <w:rFonts w:eastAsia="Aptos" w:cs="Times New Roman"/>
          <w:kern w:val="2"/>
          <w:sz w:val="18"/>
          <w:szCs w:val="18"/>
          <w14:ligatures w14:val="standardContextual"/>
        </w:rPr>
        <w:t>, (101).</w:t>
      </w:r>
    </w:p>
    <w:p w14:paraId="7D504BD4"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Kalolwa, E., Kerloc'h, M., Wolmark, L., Torre, C., &amp; Veïsse, A. (2021). </w:t>
      </w:r>
      <w:r w:rsidRPr="003673F1">
        <w:rPr>
          <w:rFonts w:eastAsia="Aptos" w:cs="Times New Roman"/>
          <w:i/>
          <w:iCs/>
          <w:kern w:val="2"/>
          <w:sz w:val="18"/>
          <w:szCs w:val="18"/>
          <w14:ligatures w14:val="standardContextual"/>
        </w:rPr>
        <w:t>La santé mentale des mineurs non accompagnés : Effets des ruptures, de la violence et de l’exclusion</w:t>
      </w:r>
      <w:r w:rsidRPr="003673F1">
        <w:rPr>
          <w:rFonts w:eastAsia="Aptos" w:cs="Times New Roman"/>
          <w:kern w:val="2"/>
          <w:sz w:val="18"/>
          <w:szCs w:val="18"/>
          <w14:ligatures w14:val="standardContextual"/>
        </w:rPr>
        <w:t>. Médecins Sans Frontières &amp; Comede.</w:t>
      </w:r>
    </w:p>
    <w:p w14:paraId="0C7A0A5E"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Keyes, C. L. M. (2002). The mental health continuum: From languishing to flourishing in life. </w:t>
      </w:r>
      <w:r w:rsidRPr="003673F1">
        <w:rPr>
          <w:rFonts w:eastAsia="Aptos" w:cs="Times New Roman"/>
          <w:i/>
          <w:iCs/>
          <w:kern w:val="2"/>
          <w:sz w:val="18"/>
          <w:szCs w:val="18"/>
          <w14:ligatures w14:val="standardContextual"/>
        </w:rPr>
        <w:t>Journal of Health and Social Behavior, 43</w:t>
      </w:r>
      <w:r w:rsidRPr="003673F1">
        <w:rPr>
          <w:rFonts w:eastAsia="Aptos" w:cs="Times New Roman"/>
          <w:kern w:val="2"/>
          <w:sz w:val="18"/>
          <w:szCs w:val="18"/>
          <w14:ligatures w14:val="standardContextual"/>
        </w:rPr>
        <w:t>(2), 207–222.</w:t>
      </w:r>
    </w:p>
    <w:p w14:paraId="40EC5F7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Krieger, N. (2001). Theories for social epidemiology in the 21st century: An ecosocial perspective. </w:t>
      </w:r>
      <w:r w:rsidRPr="003673F1">
        <w:rPr>
          <w:rFonts w:eastAsia="Aptos" w:cs="Times New Roman"/>
          <w:i/>
          <w:iCs/>
          <w:kern w:val="2"/>
          <w:sz w:val="18"/>
          <w:szCs w:val="18"/>
          <w14:ligatures w14:val="standardContextual"/>
        </w:rPr>
        <w:t xml:space="preserve">International Journal of Epidemiology, 30 </w:t>
      </w:r>
      <w:r w:rsidRPr="003673F1">
        <w:rPr>
          <w:rFonts w:eastAsia="Aptos" w:cs="Times New Roman"/>
          <w:kern w:val="2"/>
          <w:sz w:val="18"/>
          <w:szCs w:val="18"/>
          <w14:ligatures w14:val="standardContextual"/>
        </w:rPr>
        <w:t>(4), 668–677.</w:t>
      </w:r>
    </w:p>
    <w:p w14:paraId="4717FFBF"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Lachance, J. (2025). De l’éco-anxiété à la fatigue d’être soi. Comprendre l’inquiétude des jeunes à l’ère des enjeux environnementaux. </w:t>
      </w:r>
      <w:r w:rsidRPr="003673F1">
        <w:rPr>
          <w:rFonts w:eastAsia="Aptos" w:cs="Times New Roman"/>
          <w:i/>
          <w:iCs/>
          <w:kern w:val="2"/>
          <w:sz w:val="18"/>
          <w:szCs w:val="18"/>
          <w14:ligatures w14:val="standardContextual"/>
        </w:rPr>
        <w:t>Dialogue, 248</w:t>
      </w:r>
      <w:r w:rsidRPr="003673F1">
        <w:rPr>
          <w:rFonts w:eastAsia="Aptos" w:cs="Times New Roman"/>
          <w:kern w:val="2"/>
          <w:sz w:val="18"/>
          <w:szCs w:val="18"/>
          <w14:ligatures w14:val="standardContextual"/>
        </w:rPr>
        <w:t xml:space="preserve">(2), 37–53. </w:t>
      </w:r>
      <w:hyperlink r:id="rId33" w:tgtFrame="_new" w:history="1">
        <w:r w:rsidRPr="003673F1">
          <w:rPr>
            <w:rFonts w:eastAsia="Aptos" w:cs="Times New Roman"/>
            <w:color w:val="467886"/>
            <w:kern w:val="2"/>
            <w:sz w:val="18"/>
            <w:szCs w:val="18"/>
            <w:u w:val="single"/>
            <w14:ligatures w14:val="standardContextual"/>
          </w:rPr>
          <w:t>https://doi.org/10.3917/dia.248.0037</w:t>
        </w:r>
      </w:hyperlink>
    </w:p>
    <w:p w14:paraId="7EBB2B35"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Lafont, M. (2000). </w:t>
      </w:r>
      <w:r w:rsidRPr="003673F1">
        <w:rPr>
          <w:rFonts w:eastAsia="Aptos" w:cs="Times New Roman"/>
          <w:i/>
          <w:iCs/>
          <w:kern w:val="2"/>
          <w:sz w:val="18"/>
          <w:szCs w:val="18"/>
          <w14:ligatures w14:val="standardContextual"/>
        </w:rPr>
        <w:t>L’Extermination douce</w:t>
      </w:r>
      <w:r w:rsidRPr="003673F1">
        <w:rPr>
          <w:rFonts w:eastAsia="Aptos" w:cs="Times New Roman"/>
          <w:kern w:val="2"/>
          <w:sz w:val="18"/>
          <w:szCs w:val="18"/>
          <w14:ligatures w14:val="standardContextual"/>
        </w:rPr>
        <w:t>. Le Bord de l’eau. (Ouvrage original publié en 1987)</w:t>
      </w:r>
    </w:p>
    <w:p w14:paraId="6D7594E0"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Le Moigne, P., &amp; Morgiève, M. (2021). Les tentatives de suicide par intoxication médicamenteuse volontaire. </w:t>
      </w:r>
      <w:r w:rsidRPr="003673F1">
        <w:rPr>
          <w:rFonts w:eastAsia="Aptos" w:cs="Times New Roman"/>
          <w:i/>
          <w:iCs/>
          <w:kern w:val="2"/>
          <w:sz w:val="18"/>
          <w:szCs w:val="18"/>
          <w14:ligatures w14:val="standardContextual"/>
        </w:rPr>
        <w:t>Socio-anthropologie</w:t>
      </w:r>
      <w:r w:rsidRPr="003673F1">
        <w:rPr>
          <w:rFonts w:eastAsia="Aptos" w:cs="Times New Roman"/>
          <w:kern w:val="2"/>
          <w:sz w:val="18"/>
          <w:szCs w:val="18"/>
          <w14:ligatures w14:val="standardContextual"/>
        </w:rPr>
        <w:t>, 43, 83–95.</w:t>
      </w:r>
    </w:p>
    <w:p w14:paraId="52DD42B2"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Legrand, J. (2025). </w:t>
      </w:r>
      <w:r w:rsidRPr="003673F1">
        <w:rPr>
          <w:rFonts w:eastAsia="Aptos" w:cs="Times New Roman"/>
          <w:i/>
          <w:iCs/>
          <w:kern w:val="2"/>
          <w:sz w:val="18"/>
          <w:szCs w:val="18"/>
          <w14:ligatures w14:val="standardContextual"/>
        </w:rPr>
        <w:t>Traiter les fous sans les guérir</w:t>
      </w:r>
      <w:r w:rsidRPr="003673F1">
        <w:rPr>
          <w:rFonts w:eastAsia="Aptos" w:cs="Times New Roman"/>
          <w:kern w:val="2"/>
          <w:sz w:val="18"/>
          <w:szCs w:val="18"/>
          <w14:ligatures w14:val="standardContextual"/>
        </w:rPr>
        <w:t>. Presses universitaires de France.</w:t>
      </w:r>
    </w:p>
    <w:p w14:paraId="0D54811B"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Loubière, S., Loundou, A., Auquier, P., &amp; Tinland, A. (2023). Psychiatric advance directives facilitated by peer workers among people with mental illness: Economic evaluation of a randomized controlled trial (DAiP study). </w:t>
      </w:r>
      <w:r w:rsidRPr="003673F1">
        <w:rPr>
          <w:rFonts w:eastAsia="Aptos" w:cs="Times New Roman"/>
          <w:i/>
          <w:iCs/>
          <w:kern w:val="2"/>
          <w:sz w:val="18"/>
          <w:szCs w:val="18"/>
          <w14:ligatures w14:val="standardContextual"/>
        </w:rPr>
        <w:t>Epidemiology and Psychiatric Sciences, 32</w:t>
      </w:r>
      <w:r w:rsidRPr="003673F1">
        <w:rPr>
          <w:rFonts w:eastAsia="Aptos" w:cs="Times New Roman"/>
          <w:kern w:val="2"/>
          <w:sz w:val="18"/>
          <w:szCs w:val="18"/>
          <w14:ligatures w14:val="standardContextual"/>
        </w:rPr>
        <w:t xml:space="preserve">, e27. </w:t>
      </w:r>
      <w:hyperlink r:id="rId34" w:history="1">
        <w:r w:rsidRPr="003673F1">
          <w:rPr>
            <w:rFonts w:eastAsia="Aptos" w:cs="Times New Roman"/>
            <w:color w:val="467886"/>
            <w:kern w:val="2"/>
            <w:sz w:val="18"/>
            <w:szCs w:val="18"/>
            <w:u w:val="single"/>
            <w14:ligatures w14:val="standardContextual"/>
          </w:rPr>
          <w:t>https://doi.org/10.1017/S2045796023000197</w:t>
        </w:r>
      </w:hyperlink>
    </w:p>
    <w:p w14:paraId="7DE9A57F"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Luan, L., Fournier, C., &amp; Afrite, A. (2023). Infirmière en pratique avancée (IPA) en soins primaires : la construction difficile d’une profession à l’exercice fragile. </w:t>
      </w:r>
      <w:r w:rsidRPr="003673F1">
        <w:rPr>
          <w:rFonts w:eastAsia="Aptos" w:cs="Times New Roman"/>
          <w:i/>
          <w:iCs/>
          <w:kern w:val="2"/>
          <w:sz w:val="18"/>
          <w:szCs w:val="18"/>
          <w14:ligatures w14:val="standardContextual"/>
        </w:rPr>
        <w:t>Questions d’économie de la santé</w:t>
      </w:r>
      <w:r w:rsidRPr="003673F1">
        <w:rPr>
          <w:rFonts w:eastAsia="Aptos" w:cs="Times New Roman"/>
          <w:kern w:val="2"/>
          <w:sz w:val="18"/>
          <w:szCs w:val="18"/>
          <w14:ligatures w14:val="standardContextual"/>
        </w:rPr>
        <w:t>, </w:t>
      </w:r>
      <w:r w:rsidRPr="003673F1">
        <w:rPr>
          <w:rFonts w:eastAsia="Aptos" w:cs="Times New Roman"/>
          <w:i/>
          <w:iCs/>
          <w:kern w:val="2"/>
          <w:sz w:val="18"/>
          <w:szCs w:val="18"/>
          <w14:ligatures w14:val="standardContextual"/>
        </w:rPr>
        <w:t>277</w:t>
      </w:r>
      <w:r w:rsidRPr="003673F1">
        <w:rPr>
          <w:rFonts w:eastAsia="Aptos" w:cs="Times New Roman"/>
          <w:kern w:val="2"/>
          <w:sz w:val="18"/>
          <w:szCs w:val="18"/>
          <w14:ligatures w14:val="standardContextual"/>
        </w:rPr>
        <w:t>, 1-8.</w:t>
      </w:r>
    </w:p>
    <w:p w14:paraId="077EFE4A" w14:textId="77777777" w:rsidR="00DC4B2F" w:rsidRPr="003673F1" w:rsidRDefault="00DC4B2F" w:rsidP="003673F1">
      <w:pPr>
        <w:suppressAutoHyphens w:val="0"/>
        <w:spacing w:after="160" w:line="259" w:lineRule="auto"/>
        <w:jc w:val="left"/>
        <w:rPr>
          <w:rFonts w:ascii="Aptos" w:eastAsia="Aptos" w:hAnsi="Aptos" w:cs="Times New Roman"/>
          <w:kern w:val="2"/>
          <w:sz w:val="20"/>
          <w:szCs w:val="20"/>
          <w14:ligatures w14:val="standardContextual"/>
        </w:rPr>
      </w:pPr>
      <w:r w:rsidRPr="003673F1">
        <w:rPr>
          <w:rFonts w:eastAsia="Aptos" w:cs="Times New Roman"/>
          <w:kern w:val="2"/>
          <w:sz w:val="18"/>
          <w:szCs w:val="18"/>
          <w14:ligatures w14:val="standardContextual"/>
        </w:rPr>
        <w:lastRenderedPageBreak/>
        <w:t xml:space="preserve">Madrisotti, F., &amp; Wang, S. (2023). Chapter 3. Stress and anxiety among the Chinese population in France during the Covid-19 pandemic: A study examining societal and individual factors. Dans </w:t>
      </w:r>
      <w:r w:rsidRPr="003673F1">
        <w:rPr>
          <w:rFonts w:eastAsia="Aptos" w:cs="Times New Roman"/>
          <w:i/>
          <w:iCs/>
          <w:kern w:val="2"/>
          <w:sz w:val="18"/>
          <w:szCs w:val="18"/>
          <w14:ligatures w14:val="standardContextual"/>
        </w:rPr>
        <w:t>Chinese in France amid the Covid-19 Pandemic</w:t>
      </w:r>
      <w:r w:rsidRPr="003673F1">
        <w:rPr>
          <w:rFonts w:eastAsia="Aptos" w:cs="Times New Roman"/>
          <w:kern w:val="2"/>
          <w:sz w:val="18"/>
          <w:szCs w:val="18"/>
          <w14:ligatures w14:val="standardContextual"/>
        </w:rPr>
        <w:t xml:space="preserve">. Brill. </w:t>
      </w:r>
      <w:hyperlink r:id="rId35" w:tgtFrame="_new" w:history="1">
        <w:r w:rsidRPr="003673F1">
          <w:rPr>
            <w:rFonts w:eastAsia="Aptos" w:cs="Times New Roman"/>
            <w:color w:val="467886"/>
            <w:kern w:val="2"/>
            <w:sz w:val="18"/>
            <w:szCs w:val="18"/>
            <w:u w:val="single"/>
            <w14:ligatures w14:val="standardContextual"/>
          </w:rPr>
          <w:t>https://doi.org/10.1163/9789004678606_005</w:t>
        </w:r>
      </w:hyperlink>
    </w:p>
    <w:p w14:paraId="2DEE07D1"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Maignan, A. (2026). </w:t>
      </w:r>
      <w:r w:rsidRPr="003673F1">
        <w:rPr>
          <w:rFonts w:eastAsia="Aptos" w:cs="Times New Roman"/>
          <w:i/>
          <w:iCs/>
          <w:kern w:val="2"/>
          <w:sz w:val="18"/>
          <w:szCs w:val="18"/>
          <w14:ligatures w14:val="standardContextual"/>
        </w:rPr>
        <w:t>Comprendre la santé mentale des jeunes, Revue de littérature</w:t>
      </w:r>
      <w:r w:rsidRPr="003673F1">
        <w:rPr>
          <w:rFonts w:eastAsia="Aptos" w:cs="Times New Roman"/>
          <w:kern w:val="2"/>
          <w:sz w:val="18"/>
          <w:szCs w:val="18"/>
          <w14:ligatures w14:val="standardContextual"/>
        </w:rPr>
        <w:t xml:space="preserve">, Injep, Notes &amp; rapports/Revue de littérature. </w:t>
      </w:r>
      <w:hyperlink r:id="rId36" w:history="1">
        <w:r w:rsidRPr="003673F1">
          <w:rPr>
            <w:rFonts w:eastAsia="Aptos" w:cs="Times New Roman"/>
            <w:color w:val="467886"/>
            <w:kern w:val="2"/>
            <w:sz w:val="18"/>
            <w:szCs w:val="18"/>
            <w:u w:val="single"/>
            <w14:ligatures w14:val="standardContextual"/>
          </w:rPr>
          <w:t>Rapport-2026-05-Sante-mentale.pdf</w:t>
        </w:r>
      </w:hyperlink>
    </w:p>
    <w:p w14:paraId="1FAEB9D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Marques, A., Saetta, S., &amp; Tartour, T. (2016). Des murailles de papier. La contrainte aux soins en ambulatoire. </w:t>
      </w:r>
      <w:r w:rsidRPr="003673F1">
        <w:rPr>
          <w:rFonts w:eastAsia="Aptos" w:cs="Times New Roman"/>
          <w:i/>
          <w:iCs/>
          <w:kern w:val="2"/>
          <w:sz w:val="18"/>
          <w:szCs w:val="18"/>
          <w14:ligatures w14:val="standardContextual"/>
        </w:rPr>
        <w:t>Revue française des affaires sociales</w:t>
      </w:r>
      <w:r w:rsidRPr="003673F1">
        <w:rPr>
          <w:rFonts w:eastAsia="Aptos" w:cs="Times New Roman"/>
          <w:kern w:val="2"/>
          <w:sz w:val="18"/>
          <w:szCs w:val="18"/>
          <w14:ligatures w14:val="standardContextual"/>
        </w:rPr>
        <w:t xml:space="preserve">, 57–74. </w:t>
      </w:r>
      <w:hyperlink r:id="rId37" w:tgtFrame="_new" w:history="1">
        <w:r w:rsidRPr="003673F1">
          <w:rPr>
            <w:rFonts w:eastAsia="Aptos" w:cs="Times New Roman"/>
            <w:color w:val="467886"/>
            <w:kern w:val="2"/>
            <w:sz w:val="18"/>
            <w:szCs w:val="18"/>
            <w:u w:val="single"/>
            <w14:ligatures w14:val="standardContextual"/>
          </w:rPr>
          <w:t>https://doi.org/10.3917/rfas.162.0057</w:t>
        </w:r>
      </w:hyperlink>
    </w:p>
    <w:p w14:paraId="0D1C299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Martin, C. (2024). </w:t>
      </w:r>
      <w:r w:rsidRPr="003673F1">
        <w:rPr>
          <w:rFonts w:eastAsia="Aptos" w:cs="Times New Roman"/>
          <w:i/>
          <w:iCs/>
          <w:kern w:val="2"/>
          <w:sz w:val="18"/>
          <w:szCs w:val="18"/>
          <w14:ligatures w14:val="standardContextual"/>
        </w:rPr>
        <w:t>Autonomie, développement personnel et bien-être : Robert Castel, un visionnaire des effets de la culture psychologique</w:t>
      </w:r>
      <w:r w:rsidRPr="003673F1">
        <w:rPr>
          <w:rFonts w:eastAsia="Aptos" w:cs="Times New Roman"/>
          <w:kern w:val="2"/>
          <w:sz w:val="18"/>
          <w:szCs w:val="18"/>
          <w14:ligatures w14:val="standardContextual"/>
        </w:rPr>
        <w:t xml:space="preserve"> [Preprint]. HAL. </w:t>
      </w:r>
      <w:hyperlink r:id="rId38" w:tgtFrame="_new" w:history="1">
        <w:r w:rsidRPr="003673F1">
          <w:rPr>
            <w:rFonts w:eastAsia="Aptos" w:cs="Times New Roman"/>
            <w:color w:val="467886"/>
            <w:kern w:val="2"/>
            <w:sz w:val="18"/>
            <w:szCs w:val="18"/>
            <w:u w:val="single"/>
            <w14:ligatures w14:val="standardContextual"/>
          </w:rPr>
          <w:t>https://hal.science/halshs-04789215</w:t>
        </w:r>
      </w:hyperlink>
    </w:p>
    <w:p w14:paraId="0C73B649"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Moreau, D. (2022). La coordination de l’accompagnement en santé mentale : Perte du monopole psychiatrique et nouvelle place des personnes accompagnées. </w:t>
      </w:r>
      <w:r w:rsidRPr="003673F1">
        <w:rPr>
          <w:rFonts w:eastAsia="Aptos" w:cs="Times New Roman"/>
          <w:i/>
          <w:iCs/>
          <w:kern w:val="2"/>
          <w:sz w:val="18"/>
          <w:szCs w:val="18"/>
          <w14:ligatures w14:val="standardContextual"/>
        </w:rPr>
        <w:t>Sciences sociales et santé, 40</w:t>
      </w:r>
      <w:r w:rsidRPr="003673F1">
        <w:rPr>
          <w:rFonts w:eastAsia="Aptos" w:cs="Times New Roman"/>
          <w:kern w:val="2"/>
          <w:sz w:val="18"/>
          <w:szCs w:val="18"/>
          <w14:ligatures w14:val="standardContextual"/>
        </w:rPr>
        <w:t xml:space="preserve">(3), 67–74. </w:t>
      </w:r>
      <w:hyperlink r:id="rId39" w:tgtFrame="_new" w:history="1">
        <w:r w:rsidRPr="003673F1">
          <w:rPr>
            <w:rFonts w:eastAsia="Aptos" w:cs="Times New Roman"/>
            <w:color w:val="467886"/>
            <w:kern w:val="2"/>
            <w:sz w:val="18"/>
            <w:szCs w:val="18"/>
            <w:u w:val="single"/>
            <w14:ligatures w14:val="standardContextual"/>
          </w:rPr>
          <w:t>https://doi.org/10.1684/sss.2022.0232</w:t>
        </w:r>
      </w:hyperlink>
    </w:p>
    <w:p w14:paraId="4E24C5BE"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Piel, E., &amp; Roelandt, J.-L. (2001). </w:t>
      </w:r>
      <w:r w:rsidRPr="003673F1">
        <w:rPr>
          <w:rFonts w:eastAsia="Aptos" w:cs="Times New Roman"/>
          <w:i/>
          <w:iCs/>
          <w:kern w:val="2"/>
          <w:sz w:val="18"/>
          <w:szCs w:val="18"/>
          <w14:ligatures w14:val="standardContextual"/>
        </w:rPr>
        <w:t>De la psychiatrie vers la santé mentale : Rapport de mission</w:t>
      </w:r>
      <w:r w:rsidRPr="003673F1">
        <w:rPr>
          <w:rFonts w:eastAsia="Aptos" w:cs="Times New Roman"/>
          <w:kern w:val="2"/>
          <w:sz w:val="18"/>
          <w:szCs w:val="18"/>
          <w14:ligatures w14:val="standardContextual"/>
        </w:rPr>
        <w:t>. La Documentation française.</w:t>
      </w:r>
    </w:p>
    <w:p w14:paraId="73C2DED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Pinçon-Charlot, M., &amp; Pinçon, M. (1993–1994). Des difficultés de la recherche dans les classes dominantes : De l’objet impossible au sujet manipulé. </w:t>
      </w:r>
      <w:r w:rsidRPr="003673F1">
        <w:rPr>
          <w:rFonts w:eastAsia="Aptos" w:cs="Times New Roman"/>
          <w:i/>
          <w:iCs/>
          <w:kern w:val="2"/>
          <w:sz w:val="18"/>
          <w:szCs w:val="18"/>
          <w14:ligatures w14:val="standardContextual"/>
        </w:rPr>
        <w:t>Journal des anthropologues</w:t>
      </w:r>
      <w:r w:rsidRPr="003673F1">
        <w:rPr>
          <w:rFonts w:eastAsia="Aptos" w:cs="Times New Roman"/>
          <w:kern w:val="2"/>
          <w:sz w:val="18"/>
          <w:szCs w:val="18"/>
          <w14:ligatures w14:val="standardContextual"/>
        </w:rPr>
        <w:t>, (53–55), 29–36.</w:t>
      </w:r>
    </w:p>
    <w:p w14:paraId="15EBCFA0"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Rossigneux-Meheust, M. (2022). </w:t>
      </w:r>
      <w:r w:rsidRPr="003673F1">
        <w:rPr>
          <w:rFonts w:eastAsia="Aptos" w:cs="Times New Roman"/>
          <w:i/>
          <w:iCs/>
          <w:kern w:val="2"/>
          <w:sz w:val="18"/>
          <w:szCs w:val="18"/>
          <w14:ligatures w14:val="standardContextual"/>
        </w:rPr>
        <w:t>Vieillesses irrégulières</w:t>
      </w:r>
      <w:r w:rsidRPr="003673F1">
        <w:rPr>
          <w:rFonts w:eastAsia="Aptos" w:cs="Times New Roman"/>
          <w:kern w:val="2"/>
          <w:sz w:val="18"/>
          <w:szCs w:val="18"/>
          <w14:ligatures w14:val="standardContextual"/>
        </w:rPr>
        <w:t>. La Découverte.</w:t>
      </w:r>
    </w:p>
    <w:p w14:paraId="1288E7C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Roux J., Perrin L. et Léon C. (2025). Trouble anxieux généralisé : prévalence et recours aux soins. </w:t>
      </w:r>
      <w:r w:rsidRPr="003673F1">
        <w:rPr>
          <w:rFonts w:eastAsia="Aptos" w:cs="Times New Roman"/>
          <w:i/>
          <w:iCs/>
          <w:kern w:val="2"/>
          <w:sz w:val="18"/>
          <w:szCs w:val="18"/>
          <w14:ligatures w14:val="standardContextual"/>
        </w:rPr>
        <w:t>Baromètre de Santé publique France : résultats de l’édition 2024</w:t>
      </w:r>
      <w:r w:rsidRPr="003673F1">
        <w:rPr>
          <w:rFonts w:eastAsia="Aptos" w:cs="Times New Roman"/>
          <w:kern w:val="2"/>
          <w:sz w:val="18"/>
          <w:szCs w:val="18"/>
          <w14:ligatures w14:val="standardContextual"/>
        </w:rPr>
        <w:t>. Santé publique France.</w:t>
      </w:r>
    </w:p>
    <w:p w14:paraId="29313934"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Santé publique France. (2026). Vers des ruralités favorables à la santé. </w:t>
      </w:r>
      <w:r w:rsidRPr="003673F1">
        <w:rPr>
          <w:rFonts w:eastAsia="Aptos" w:cs="Times New Roman"/>
          <w:i/>
          <w:iCs/>
          <w:kern w:val="2"/>
          <w:sz w:val="18"/>
          <w:szCs w:val="18"/>
          <w14:ligatures w14:val="standardContextual"/>
        </w:rPr>
        <w:t>La Santé en action</w:t>
      </w:r>
      <w:r w:rsidRPr="003673F1">
        <w:rPr>
          <w:rFonts w:eastAsia="Aptos" w:cs="Times New Roman"/>
          <w:kern w:val="2"/>
          <w:sz w:val="18"/>
          <w:szCs w:val="18"/>
          <w14:ligatures w14:val="standardContextual"/>
        </w:rPr>
        <w:t xml:space="preserve">, n° 472. </w:t>
      </w:r>
      <w:hyperlink r:id="rId40" w:history="1">
        <w:r w:rsidRPr="003673F1">
          <w:rPr>
            <w:rFonts w:eastAsia="Aptos" w:cs="Times New Roman"/>
            <w:color w:val="467886"/>
            <w:kern w:val="2"/>
            <w:sz w:val="18"/>
            <w:szCs w:val="18"/>
            <w:u w:val="single"/>
            <w14:ligatures w14:val="standardContextual"/>
          </w:rPr>
          <w:t>La Santé en action n° 472 – Vers des ruralités</w:t>
        </w:r>
      </w:hyperlink>
    </w:p>
    <w:p w14:paraId="606C4D4A"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Scodellaro, C. (2022). Violences sexuelles et tentatives de suicide. Dans </w:t>
      </w:r>
      <w:r w:rsidRPr="003673F1">
        <w:rPr>
          <w:rFonts w:eastAsia="Aptos" w:cs="Times New Roman"/>
          <w:i/>
          <w:iCs/>
          <w:kern w:val="2"/>
          <w:sz w:val="18"/>
          <w:szCs w:val="18"/>
          <w14:ligatures w14:val="standardContextual"/>
        </w:rPr>
        <w:t>Suicide : Mesurer l’impact de la crise sanitaire liée au Covid-19 : Effets contrastés au sein de la population et mal-être chez les jeunes</w:t>
      </w:r>
      <w:r w:rsidRPr="003673F1">
        <w:rPr>
          <w:rFonts w:eastAsia="Aptos" w:cs="Times New Roman"/>
          <w:kern w:val="2"/>
          <w:sz w:val="18"/>
          <w:szCs w:val="18"/>
          <w14:ligatures w14:val="standardContextual"/>
        </w:rPr>
        <w:t xml:space="preserve"> (5e rapport de l’Observatoire national du suicide). Drees.</w:t>
      </w:r>
    </w:p>
    <w:p w14:paraId="35DE0213"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Simon, A. (2023).</w:t>
      </w:r>
      <w:r w:rsidRPr="003673F1">
        <w:rPr>
          <w:rFonts w:eastAsia="Aptos" w:cs="Times New Roman"/>
          <w:i/>
          <w:iCs/>
          <w:kern w:val="2"/>
          <w:sz w:val="18"/>
          <w:szCs w:val="18"/>
          <w14:ligatures w14:val="standardContextual"/>
        </w:rPr>
        <w:t xml:space="preserve"> Les effets de l’enfermement sur les mineurs détenus</w:t>
      </w:r>
      <w:r w:rsidRPr="003673F1">
        <w:rPr>
          <w:rFonts w:eastAsia="Aptos" w:cs="Times New Roman"/>
          <w:kern w:val="2"/>
          <w:sz w:val="18"/>
          <w:szCs w:val="18"/>
          <w14:ligatures w14:val="standardContextual"/>
        </w:rPr>
        <w:t>.</w:t>
      </w:r>
      <w:r w:rsidRPr="003673F1">
        <w:rPr>
          <w:rFonts w:ascii="Aptos" w:eastAsia="Aptos" w:hAnsi="Aptos" w:cs="Times New Roman"/>
          <w:kern w:val="2"/>
          <w:sz w:val="20"/>
          <w:szCs w:val="20"/>
          <w14:ligatures w14:val="standardContextual"/>
        </w:rPr>
        <w:t xml:space="preserve"> </w:t>
      </w:r>
      <w:r w:rsidRPr="003673F1">
        <w:rPr>
          <w:rFonts w:eastAsia="Aptos" w:cs="Times New Roman"/>
          <w:kern w:val="2"/>
          <w:sz w:val="18"/>
          <w:szCs w:val="18"/>
          <w14:ligatures w14:val="standardContextual"/>
        </w:rPr>
        <w:t>Service de l’évaluation, de la recherche et du contrôle de la direction de la protection judiciaire de la jeunesse &amp; Direction de la protection judiciaire de la jeunesse.</w:t>
      </w:r>
      <w:r w:rsidRPr="003673F1">
        <w:rPr>
          <w:rFonts w:ascii="Aptos" w:eastAsia="Aptos" w:hAnsi="Aptos" w:cs="Times New Roman"/>
          <w:kern w:val="2"/>
          <w:sz w:val="20"/>
          <w:szCs w:val="20"/>
          <w14:ligatures w14:val="standardContextual"/>
        </w:rPr>
        <w:t xml:space="preserve"> </w:t>
      </w:r>
      <w:hyperlink r:id="rId41" w:history="1">
        <w:r w:rsidRPr="003673F1">
          <w:rPr>
            <w:rFonts w:eastAsia="Aptos" w:cs="Times New Roman"/>
            <w:color w:val="467886"/>
            <w:kern w:val="2"/>
            <w:sz w:val="18"/>
            <w:szCs w:val="18"/>
            <w:u w:val="single"/>
            <w14:ligatures w14:val="standardContextual"/>
          </w:rPr>
          <w:t>alice_simon_effets_enfermement_mineurs.pdf</w:t>
        </w:r>
      </w:hyperlink>
    </w:p>
    <w:p w14:paraId="210265DA"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Sitbon, A. (Éd.). (2015). </w:t>
      </w:r>
      <w:r w:rsidRPr="003673F1">
        <w:rPr>
          <w:rFonts w:eastAsia="Aptos" w:cs="Times New Roman"/>
          <w:i/>
          <w:iCs/>
          <w:kern w:val="2"/>
          <w:sz w:val="18"/>
          <w:szCs w:val="18"/>
          <w14:ligatures w14:val="standardContextual"/>
        </w:rPr>
        <w:t>Baromètre santé sourds et malentendants 2011/2012</w:t>
      </w:r>
      <w:r w:rsidRPr="003673F1">
        <w:rPr>
          <w:rFonts w:eastAsia="Aptos" w:cs="Times New Roman"/>
          <w:kern w:val="2"/>
          <w:sz w:val="18"/>
          <w:szCs w:val="18"/>
          <w14:ligatures w14:val="standardContextual"/>
        </w:rPr>
        <w:t>. Inpes.</w:t>
      </w:r>
    </w:p>
    <w:p w14:paraId="740A129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Sterchele, C. (2023). </w:t>
      </w:r>
      <w:r w:rsidRPr="003673F1">
        <w:rPr>
          <w:rFonts w:eastAsia="Aptos" w:cs="Times New Roman"/>
          <w:i/>
          <w:iCs/>
          <w:kern w:val="2"/>
          <w:sz w:val="18"/>
          <w:szCs w:val="18"/>
          <w14:ligatures w14:val="standardContextual"/>
        </w:rPr>
        <w:t>L’offre de soins hospitaliers en psychiatrie : Évolutions de 2008 à 2019 et disparités territoriales</w:t>
      </w:r>
      <w:r w:rsidRPr="003673F1">
        <w:rPr>
          <w:rFonts w:eastAsia="Aptos" w:cs="Times New Roman"/>
          <w:kern w:val="2"/>
          <w:sz w:val="18"/>
          <w:szCs w:val="18"/>
          <w14:ligatures w14:val="standardContextual"/>
        </w:rPr>
        <w:t xml:space="preserve">. </w:t>
      </w:r>
      <w:r w:rsidRPr="003673F1">
        <w:rPr>
          <w:rFonts w:eastAsia="Aptos" w:cs="Times New Roman"/>
          <w:i/>
          <w:iCs/>
          <w:kern w:val="2"/>
          <w:sz w:val="18"/>
          <w:szCs w:val="18"/>
          <w14:ligatures w14:val="standardContextual"/>
        </w:rPr>
        <w:t>Les Dossiers de la Drees</w:t>
      </w:r>
      <w:r w:rsidRPr="003673F1">
        <w:rPr>
          <w:rFonts w:eastAsia="Aptos" w:cs="Times New Roman"/>
          <w:kern w:val="2"/>
          <w:sz w:val="18"/>
          <w:szCs w:val="18"/>
          <w14:ligatures w14:val="standardContextual"/>
        </w:rPr>
        <w:t xml:space="preserve"> (n° 112).</w:t>
      </w:r>
    </w:p>
    <w:p w14:paraId="4178261D"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Tartour, T. (2021). </w:t>
      </w:r>
      <w:r w:rsidRPr="003673F1">
        <w:rPr>
          <w:rFonts w:eastAsia="Aptos" w:cs="Times New Roman"/>
          <w:i/>
          <w:iCs/>
          <w:kern w:val="2"/>
          <w:sz w:val="18"/>
          <w:szCs w:val="18"/>
          <w14:ligatures w14:val="standardContextual"/>
        </w:rPr>
        <w:t>L’administration du désordre : Gouverner l’hôpital psychiatrique depuis les années 1980</w:t>
      </w:r>
      <w:r w:rsidRPr="003673F1">
        <w:rPr>
          <w:rFonts w:eastAsia="Aptos" w:cs="Times New Roman"/>
          <w:kern w:val="2"/>
          <w:sz w:val="18"/>
          <w:szCs w:val="18"/>
          <w14:ligatures w14:val="standardContextual"/>
        </w:rPr>
        <w:t xml:space="preserve"> (Thèse de doctorat, Sciences Po Paris).</w:t>
      </w:r>
    </w:p>
    <w:p w14:paraId="395AF8BB"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Troisoeufs, A. (2020). « Jouer aux normaux entre malades » : Expériences des troubles psychiques et normalités négociées dans les groupes d’entraide mutuelle. </w:t>
      </w:r>
      <w:r w:rsidRPr="003673F1">
        <w:rPr>
          <w:rFonts w:eastAsia="Aptos" w:cs="Times New Roman"/>
          <w:i/>
          <w:iCs/>
          <w:kern w:val="2"/>
          <w:sz w:val="18"/>
          <w:szCs w:val="18"/>
          <w14:ligatures w14:val="standardContextual"/>
        </w:rPr>
        <w:t>Anthropologie &amp; Santé</w:t>
      </w:r>
      <w:r w:rsidRPr="003673F1">
        <w:rPr>
          <w:rFonts w:eastAsia="Aptos" w:cs="Times New Roman"/>
          <w:kern w:val="2"/>
          <w:sz w:val="18"/>
          <w:szCs w:val="18"/>
          <w14:ligatures w14:val="standardContextual"/>
        </w:rPr>
        <w:t xml:space="preserve">, (20). </w:t>
      </w:r>
      <w:hyperlink r:id="rId42" w:history="1">
        <w:r w:rsidRPr="003673F1">
          <w:rPr>
            <w:rFonts w:eastAsia="Aptos" w:cs="Times New Roman"/>
            <w:color w:val="467886"/>
            <w:kern w:val="2"/>
            <w:sz w:val="18"/>
            <w:szCs w:val="18"/>
            <w:u w:val="single"/>
            <w14:ligatures w14:val="standardContextual"/>
          </w:rPr>
          <w:t>https://doi.org/10.4000/anthropologiesante.6101</w:t>
        </w:r>
      </w:hyperlink>
    </w:p>
    <w:p w14:paraId="720501BC"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Velpry, L., Vidal-Naquet, P. A., &amp; Eyraud, B. (Éds.). (2018). </w:t>
      </w:r>
      <w:r w:rsidRPr="003673F1">
        <w:rPr>
          <w:rFonts w:eastAsia="Aptos" w:cs="Times New Roman"/>
          <w:i/>
          <w:iCs/>
          <w:kern w:val="2"/>
          <w:sz w:val="18"/>
          <w:szCs w:val="18"/>
          <w14:ligatures w14:val="standardContextual"/>
        </w:rPr>
        <w:t>Contrainte et consentement en santé mentale : Forcer, influencer, coopérer</w:t>
      </w:r>
      <w:r w:rsidRPr="003673F1">
        <w:rPr>
          <w:rFonts w:eastAsia="Aptos" w:cs="Times New Roman"/>
          <w:kern w:val="2"/>
          <w:sz w:val="18"/>
          <w:szCs w:val="18"/>
          <w14:ligatures w14:val="standardContextual"/>
        </w:rPr>
        <w:t>. Presses universitaires de Rennes.</w:t>
      </w:r>
    </w:p>
    <w:p w14:paraId="45208767"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Vézinat, N. (2024). </w:t>
      </w:r>
      <w:r w:rsidRPr="003673F1">
        <w:rPr>
          <w:rFonts w:eastAsia="Aptos" w:cs="Times New Roman"/>
          <w:i/>
          <w:iCs/>
          <w:kern w:val="2"/>
          <w:sz w:val="18"/>
          <w:szCs w:val="18"/>
          <w14:ligatures w14:val="standardContextual"/>
        </w:rPr>
        <w:t>Le service public empêché</w:t>
      </w:r>
      <w:r w:rsidRPr="003673F1">
        <w:rPr>
          <w:rFonts w:eastAsia="Aptos" w:cs="Times New Roman"/>
          <w:kern w:val="2"/>
          <w:sz w:val="18"/>
          <w:szCs w:val="18"/>
          <w14:ligatures w14:val="standardContextual"/>
        </w:rPr>
        <w:t>. Presses universitaires de France.</w:t>
      </w:r>
    </w:p>
    <w:p w14:paraId="0BF748DF"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Von Bueltzingsloewen, I. (2009). </w:t>
      </w:r>
      <w:r w:rsidRPr="003673F1">
        <w:rPr>
          <w:rFonts w:eastAsia="Aptos" w:cs="Times New Roman"/>
          <w:i/>
          <w:iCs/>
          <w:kern w:val="2"/>
          <w:sz w:val="18"/>
          <w:szCs w:val="18"/>
          <w14:ligatures w14:val="standardContextual"/>
        </w:rPr>
        <w:t>L’Hécatombe des fous. La famine dans les hôpitaux psychiatriques sous l’Occupation</w:t>
      </w:r>
      <w:r w:rsidRPr="003673F1">
        <w:rPr>
          <w:rFonts w:eastAsia="Aptos" w:cs="Times New Roman"/>
          <w:kern w:val="2"/>
          <w:sz w:val="18"/>
          <w:szCs w:val="18"/>
          <w14:ligatures w14:val="standardContextual"/>
        </w:rPr>
        <w:t>, Aubier.</w:t>
      </w:r>
    </w:p>
    <w:p w14:paraId="28B34D4F"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Wang, S. (2013). « Handicapé ? C’est insulter ma descendance et aussi mes ancêtres ! » Négociations autour de l’inscription de l’enfant d’origine chinoise à la MDPH. </w:t>
      </w:r>
      <w:r w:rsidRPr="003673F1">
        <w:rPr>
          <w:rFonts w:eastAsia="Aptos" w:cs="Times New Roman"/>
          <w:i/>
          <w:iCs/>
          <w:kern w:val="2"/>
          <w:sz w:val="18"/>
          <w:szCs w:val="18"/>
          <w14:ligatures w14:val="standardContextual"/>
        </w:rPr>
        <w:t>Terrains &amp; travaux, 23</w:t>
      </w:r>
      <w:r w:rsidRPr="003673F1">
        <w:rPr>
          <w:rFonts w:eastAsia="Aptos" w:cs="Times New Roman"/>
          <w:kern w:val="2"/>
          <w:sz w:val="18"/>
          <w:szCs w:val="18"/>
          <w14:ligatures w14:val="standardContextual"/>
        </w:rPr>
        <w:t>(2), 77–92.</w:t>
      </w:r>
    </w:p>
    <w:p w14:paraId="01A98F51" w14:textId="77777777" w:rsidR="00DC4B2F" w:rsidRPr="003673F1" w:rsidRDefault="00DC4B2F" w:rsidP="003673F1">
      <w:pPr>
        <w:suppressAutoHyphens w:val="0"/>
        <w:spacing w:after="160" w:line="259" w:lineRule="auto"/>
        <w:jc w:val="left"/>
        <w:rPr>
          <w:rFonts w:eastAsia="Aptos" w:cs="Times New Roman"/>
          <w:kern w:val="2"/>
          <w:sz w:val="18"/>
          <w:szCs w:val="18"/>
          <w14:ligatures w14:val="standardContextual"/>
        </w:rPr>
      </w:pPr>
      <w:r w:rsidRPr="003673F1">
        <w:rPr>
          <w:rFonts w:eastAsia="Aptos" w:cs="Times New Roman"/>
          <w:kern w:val="2"/>
          <w:sz w:val="18"/>
          <w:szCs w:val="18"/>
          <w14:ligatures w14:val="standardContextual"/>
        </w:rPr>
        <w:t xml:space="preserve">Wang, S. (2017). </w:t>
      </w:r>
      <w:r w:rsidRPr="003673F1">
        <w:rPr>
          <w:rFonts w:eastAsia="Aptos" w:cs="Times New Roman"/>
          <w:i/>
          <w:iCs/>
          <w:kern w:val="2"/>
          <w:sz w:val="18"/>
          <w:szCs w:val="18"/>
          <w14:ligatures w14:val="standardContextual"/>
        </w:rPr>
        <w:t>Illusions et souffrances : Les migrants chinois à Paris</w:t>
      </w:r>
      <w:r w:rsidRPr="003673F1">
        <w:rPr>
          <w:rFonts w:eastAsia="Aptos" w:cs="Times New Roman"/>
          <w:kern w:val="2"/>
          <w:sz w:val="18"/>
          <w:szCs w:val="18"/>
          <w14:ligatures w14:val="standardContextual"/>
        </w:rPr>
        <w:t>. Éditions Rue d’Ulm.</w:t>
      </w:r>
    </w:p>
    <w:p w14:paraId="58365C28" w14:textId="4058977F" w:rsidR="00DC4B2F" w:rsidRPr="003673F1" w:rsidRDefault="00DC4B2F" w:rsidP="003673F1">
      <w:pPr>
        <w:suppressAutoHyphens w:val="0"/>
        <w:spacing w:after="160" w:line="259" w:lineRule="auto"/>
        <w:jc w:val="left"/>
        <w:rPr>
          <w:sz w:val="20"/>
          <w:szCs w:val="20"/>
          <w:highlight w:val="yellow"/>
        </w:rPr>
      </w:pPr>
      <w:r w:rsidRPr="003673F1">
        <w:rPr>
          <w:rFonts w:eastAsia="Aptos" w:cs="Times New Roman"/>
          <w:kern w:val="2"/>
          <w:sz w:val="18"/>
          <w:szCs w:val="18"/>
          <w14:ligatures w14:val="standardContextual"/>
        </w:rPr>
        <w:t xml:space="preserve">Xanthakou, M., &amp; Zimmermann, M. (2010). </w:t>
      </w:r>
      <w:r w:rsidRPr="003673F1">
        <w:rPr>
          <w:rFonts w:eastAsia="Aptos" w:cs="Times New Roman"/>
          <w:i/>
          <w:iCs/>
          <w:kern w:val="2"/>
          <w:sz w:val="18"/>
          <w:szCs w:val="18"/>
          <w14:ligatures w14:val="standardContextual"/>
        </w:rPr>
        <w:t>Services d’aide à l’épreuve du handicap psychique : Approche anthropologique et parcours de vie et des trajectoires de prise en charge</w:t>
      </w:r>
      <w:r w:rsidRPr="003673F1">
        <w:rPr>
          <w:rFonts w:eastAsia="Aptos" w:cs="Times New Roman"/>
          <w:kern w:val="2"/>
          <w:sz w:val="18"/>
          <w:szCs w:val="18"/>
          <w14:ligatures w14:val="standardContextual"/>
        </w:rPr>
        <w:t>. Rapport de recherche non publié (MiRe</w:t>
      </w:r>
      <w:r w:rsidR="00131BF5">
        <w:rPr>
          <w:rFonts w:eastAsia="Aptos" w:cs="Times New Roman"/>
          <w:kern w:val="2"/>
          <w:sz w:val="18"/>
          <w:szCs w:val="18"/>
          <w14:ligatures w14:val="standardContextual"/>
        </w:rPr>
        <w:t>,</w:t>
      </w:r>
      <w:r w:rsidRPr="003673F1">
        <w:rPr>
          <w:rFonts w:eastAsia="Aptos" w:cs="Times New Roman"/>
          <w:kern w:val="2"/>
          <w:sz w:val="18"/>
          <w:szCs w:val="18"/>
          <w14:ligatures w14:val="standardContextual"/>
        </w:rPr>
        <w:t xml:space="preserve"> Drees).</w:t>
      </w:r>
    </w:p>
    <w:p w14:paraId="49F91001" w14:textId="77777777" w:rsidR="00DC4B2F" w:rsidRPr="00F375E9" w:rsidRDefault="00DC4B2F" w:rsidP="00DC4B2F">
      <w:pPr>
        <w:spacing w:before="60" w:after="60"/>
        <w:rPr>
          <w:highlight w:val="yellow"/>
        </w:rPr>
      </w:pPr>
    </w:p>
    <w:p w14:paraId="6A4E0079" w14:textId="77777777" w:rsidR="00E614F8" w:rsidRPr="00F375E9" w:rsidRDefault="00E614F8">
      <w:pPr>
        <w:spacing w:line="240" w:lineRule="auto"/>
        <w:jc w:val="left"/>
        <w:rPr>
          <w:rFonts w:eastAsia="Arial Unicode MS" w:cstheme="minorHAnsi"/>
          <w:b/>
          <w:bCs/>
          <w:color w:val="2A6099"/>
          <w:sz w:val="30"/>
          <w:szCs w:val="36"/>
          <w:highlight w:val="yellow"/>
          <w:u w:val="single"/>
        </w:rPr>
      </w:pPr>
      <w:r w:rsidRPr="00F375E9">
        <w:rPr>
          <w:highlight w:val="yellow"/>
        </w:rPr>
        <w:br w:type="page"/>
      </w:r>
    </w:p>
    <w:p w14:paraId="517493AA" w14:textId="5981C913" w:rsidR="00640BE6" w:rsidRPr="00F375E9" w:rsidRDefault="0068274C" w:rsidP="005B10EF">
      <w:pPr>
        <w:pStyle w:val="Titre1"/>
      </w:pPr>
      <w:bookmarkStart w:id="54" w:name="_Toc238221294"/>
      <w:bookmarkEnd w:id="30"/>
      <w:r w:rsidRPr="00F375E9">
        <w:lastRenderedPageBreak/>
        <w:t>Annexe 1</w:t>
      </w:r>
      <w:r w:rsidR="00640BE6" w:rsidRPr="00F375E9">
        <w:t>.</w:t>
      </w:r>
      <w:r w:rsidRPr="00F375E9">
        <w:t xml:space="preserve"> </w:t>
      </w:r>
      <w:r w:rsidR="00640BE6" w:rsidRPr="00F375E9">
        <w:t>P</w:t>
      </w:r>
      <w:r w:rsidRPr="00F375E9">
        <w:t>récisions sur la « recherche-action</w:t>
      </w:r>
      <w:r w:rsidR="00247BF7">
        <w:t> » ou sur les « recherches</w:t>
      </w:r>
      <w:r w:rsidRPr="00F375E9">
        <w:t xml:space="preserve"> participative</w:t>
      </w:r>
      <w:r w:rsidR="00247BF7">
        <w:t>s</w:t>
      </w:r>
      <w:r w:rsidRPr="00F375E9">
        <w:t> »</w:t>
      </w:r>
      <w:bookmarkEnd w:id="54"/>
    </w:p>
    <w:p w14:paraId="4F35C6E2" w14:textId="10462545" w:rsidR="00F375E9" w:rsidRPr="00554552" w:rsidRDefault="00640BE6" w:rsidP="006F51EA">
      <w:pPr>
        <w:spacing w:before="120" w:after="120"/>
        <w:ind w:firstLine="357"/>
        <w:rPr>
          <w:rFonts w:cs="Times New Roman"/>
        </w:rPr>
      </w:pPr>
      <w:r w:rsidRPr="00F375E9">
        <w:rPr>
          <w:rFonts w:cs="Times New Roman"/>
        </w:rPr>
        <w:t xml:space="preserve">Les recherches-actions, les recherches participatives/collaboratives ou encore les recherches-interventions, constituent une approche scientifique dont la pratique est plurielle, transdisciplinaire (Brydon-Miller </w:t>
      </w:r>
      <w:r w:rsidRPr="00F375E9">
        <w:rPr>
          <w:rFonts w:cs="Times New Roman"/>
          <w:i/>
          <w:iCs/>
        </w:rPr>
        <w:t>et al</w:t>
      </w:r>
      <w:r w:rsidRPr="00F375E9">
        <w:rPr>
          <w:rFonts w:cs="Times New Roman"/>
        </w:rPr>
        <w:t>., 2003) et qui mobilise une posture singulière permettant de produire à la fois des connaissances pratiques, utiles pour l’action, mais aussi des connaissances théoriques plus générales. Elles désignent ici un processus de recherche qui associe les chercheur</w:t>
      </w:r>
      <w:r w:rsidR="00495F90">
        <w:rPr>
          <w:rFonts w:cs="Times New Roman"/>
        </w:rPr>
        <w:t>.se</w:t>
      </w:r>
      <w:r w:rsidRPr="00F375E9">
        <w:rPr>
          <w:rFonts w:cs="Times New Roman"/>
        </w:rPr>
        <w:t>s doté</w:t>
      </w:r>
      <w:r w:rsidR="00495F90">
        <w:rPr>
          <w:rFonts w:cs="Times New Roman"/>
        </w:rPr>
        <w:t>.e</w:t>
      </w:r>
      <w:r w:rsidRPr="00F375E9">
        <w:rPr>
          <w:rFonts w:cs="Times New Roman"/>
        </w:rPr>
        <w:t xml:space="preserve">s d’un statut académique avec </w:t>
      </w:r>
      <w:r w:rsidR="00E910F7">
        <w:rPr>
          <w:rFonts w:cs="Times New Roman"/>
        </w:rPr>
        <w:t>d’</w:t>
      </w:r>
      <w:r w:rsidRPr="00F375E9">
        <w:rPr>
          <w:rFonts w:cs="Times New Roman"/>
        </w:rPr>
        <w:t>autres parties prenantes de la recherche (</w:t>
      </w:r>
      <w:r w:rsidR="00495F90">
        <w:rPr>
          <w:rFonts w:cs="Times New Roman"/>
        </w:rPr>
        <w:t xml:space="preserve">personnes concernées, </w:t>
      </w:r>
      <w:r w:rsidR="00E910F7">
        <w:rPr>
          <w:rFonts w:cs="Times New Roman"/>
        </w:rPr>
        <w:t xml:space="preserve">familles, </w:t>
      </w:r>
      <w:r w:rsidR="00E910F7" w:rsidRPr="00F375E9">
        <w:rPr>
          <w:rFonts w:cs="Times New Roman"/>
        </w:rPr>
        <w:t>personnels</w:t>
      </w:r>
      <w:r w:rsidRPr="00F375E9">
        <w:rPr>
          <w:rFonts w:cs="Times New Roman"/>
        </w:rPr>
        <w:t xml:space="preserve"> administratifs, </w:t>
      </w:r>
      <w:r w:rsidRPr="00554552">
        <w:rPr>
          <w:rFonts w:cs="Times New Roman"/>
        </w:rPr>
        <w:t>collectivités, associations, etc.). Les recherches-actions participatives poursuivent l’avancée de la connaissance par la collaboration d’acteurs divers tout en garantissant la scientificité des résultats et leur inscription dans une demande sociale. Dans une telle démarche, les acteurs impliqués sont légitimés à participer en amont à la définition du projet de recherche et à livrer leur expertise en cours de recherche tout comme à se prononcer sur les conclusions et les enseignements de la recherche jusqu’aux préconisations.</w:t>
      </w:r>
    </w:p>
    <w:p w14:paraId="0A688D78" w14:textId="2E3C2402" w:rsidR="00640BE6" w:rsidRPr="00554552" w:rsidRDefault="00CE0EBE" w:rsidP="004D1BAA">
      <w:pPr>
        <w:spacing w:before="120" w:after="120"/>
        <w:ind w:firstLine="357"/>
        <w:rPr>
          <w:rFonts w:cs="Times New Roman"/>
        </w:rPr>
      </w:pPr>
      <w:r w:rsidRPr="00554552">
        <w:rPr>
          <w:rFonts w:cs="Times New Roman"/>
        </w:rPr>
        <w:t xml:space="preserve">En cas de recherche participative, le </w:t>
      </w:r>
      <w:r w:rsidR="00640BE6" w:rsidRPr="00554552">
        <w:rPr>
          <w:rFonts w:cs="Times New Roman"/>
        </w:rPr>
        <w:t xml:space="preserve">projet devra </w:t>
      </w:r>
      <w:r w:rsidRPr="00554552">
        <w:rPr>
          <w:rFonts w:cs="Times New Roman"/>
        </w:rPr>
        <w:t>énoncer précisément</w:t>
      </w:r>
      <w:r w:rsidR="00640BE6" w:rsidRPr="00554552">
        <w:rPr>
          <w:rFonts w:cs="Times New Roman"/>
        </w:rPr>
        <w:t xml:space="preserve"> l</w:t>
      </w:r>
      <w:r w:rsidRPr="00554552">
        <w:rPr>
          <w:rFonts w:cs="Times New Roman"/>
        </w:rPr>
        <w:t>a liste des</w:t>
      </w:r>
      <w:r w:rsidR="00640BE6" w:rsidRPr="00554552">
        <w:rPr>
          <w:rFonts w:cs="Times New Roman"/>
        </w:rPr>
        <w:t xml:space="preserve"> chercheur</w:t>
      </w:r>
      <w:r w:rsidR="00247BF7">
        <w:rPr>
          <w:rFonts w:cs="Times New Roman"/>
        </w:rPr>
        <w:t>.se</w:t>
      </w:r>
      <w:r w:rsidR="00640BE6" w:rsidRPr="00554552">
        <w:rPr>
          <w:rFonts w:cs="Times New Roman"/>
        </w:rPr>
        <w:t>s et co-chercheur</w:t>
      </w:r>
      <w:r w:rsidR="00247BF7">
        <w:rPr>
          <w:rFonts w:cs="Times New Roman"/>
        </w:rPr>
        <w:t>.se</w:t>
      </w:r>
      <w:r w:rsidR="00640BE6" w:rsidRPr="00554552">
        <w:rPr>
          <w:rFonts w:cs="Times New Roman"/>
        </w:rPr>
        <w:t xml:space="preserve">s. La démarche de recherche et la configuration de l’équipe seront évaluées en fonction de sa pertinence, de la faisabilité du projet et des objectifs. </w:t>
      </w:r>
    </w:p>
    <w:p w14:paraId="2F06D2E3" w14:textId="0E980F6D" w:rsidR="00640BE6" w:rsidRPr="00554552" w:rsidRDefault="00640BE6" w:rsidP="00587BD4">
      <w:pPr>
        <w:pStyle w:val="Paragraphedeliste"/>
        <w:numPr>
          <w:ilvl w:val="0"/>
          <w:numId w:val="10"/>
        </w:numPr>
      </w:pPr>
      <w:r w:rsidRPr="00554552">
        <w:rPr>
          <w:b/>
          <w:bCs/>
        </w:rPr>
        <w:t>S’inscrire dans une méthodologie participative </w:t>
      </w:r>
      <w:r w:rsidRPr="00554552">
        <w:t>: Un des éléments majeurs caractérisant les recherches-participatives réside dans l’approche de faire « avec » les personnes enquêtées plutôt que de réaliser des recherches « sur » elles en tant qu’objet de recherche. Les personnes concernées, en raison de leur expérience vécue, par les thèmes de la recherche-action peuvent être envisagées comme des « co-chercheur</w:t>
      </w:r>
      <w:r w:rsidR="00247BF7">
        <w:t>.se</w:t>
      </w:r>
      <w:r w:rsidRPr="00554552">
        <w:t>s » impliqué</w:t>
      </w:r>
      <w:r w:rsidR="00247BF7">
        <w:t>e</w:t>
      </w:r>
      <w:r w:rsidRPr="00554552">
        <w:t>s dans les différentes phases de l’enquête, de sa conception, dans le choix des questions de recherche et des méthodes employées, à sa mise en place et jusqu’à la production des connaissances, la valorisation et la diffusion des résultats et son évaluation.</w:t>
      </w:r>
    </w:p>
    <w:p w14:paraId="0F35C22B" w14:textId="230B2BA5" w:rsidR="00640BE6" w:rsidRPr="00554552" w:rsidRDefault="00640BE6" w:rsidP="00F77BBF">
      <w:pPr>
        <w:ind w:left="720"/>
      </w:pPr>
      <w:r w:rsidRPr="00554552">
        <w:t>Une attention particulière sera portée aux modalités effectives d’implication des personnes concernées associées au projet de recherche, ce défi ayant déjà été souligné dans la littérature sur les recherches participatives (Bertrand</w:t>
      </w:r>
      <w:r w:rsidR="00A6308B">
        <w:t xml:space="preserve"> et</w:t>
      </w:r>
      <w:r w:rsidRPr="00554552">
        <w:t xml:space="preserve"> Petiau, 2023).</w:t>
      </w:r>
    </w:p>
    <w:p w14:paraId="0CA4CE0D" w14:textId="77777777" w:rsidR="00554552" w:rsidRPr="00554552" w:rsidRDefault="00554552" w:rsidP="00F77BBF">
      <w:pPr>
        <w:ind w:left="720"/>
        <w:rPr>
          <w:b/>
        </w:rPr>
      </w:pPr>
    </w:p>
    <w:p w14:paraId="2B564486" w14:textId="0B085F13" w:rsidR="0068274C" w:rsidRPr="00554552" w:rsidRDefault="00640BE6" w:rsidP="00587BD4">
      <w:pPr>
        <w:pStyle w:val="Paragraphedeliste"/>
        <w:numPr>
          <w:ilvl w:val="0"/>
          <w:numId w:val="10"/>
        </w:numPr>
      </w:pPr>
      <w:r w:rsidRPr="00554552">
        <w:rPr>
          <w:b/>
          <w:bCs/>
        </w:rPr>
        <w:t>S’inscrire dans une double visée de production de connaissances scientifiques et d’action</w:t>
      </w:r>
      <w:r w:rsidRPr="00554552">
        <w:t> : il s’agit de recherches à visée transformative, engagées dans des enjeux de justice sociale, au sein desquelles la recherche est orientée vers l’amélioration des politiques publiques et conditions de vie des participant</w:t>
      </w:r>
      <w:r w:rsidR="00247BF7">
        <w:t>.e</w:t>
      </w:r>
      <w:r w:rsidRPr="00554552">
        <w:t xml:space="preserve">s, tout en ne se réduisant pas à la seule dimension de l’intervention. L’ambition d’une recherche-action est ainsi double et repose à la fois dans le développement d’une action ou dans la mise en place de nouvelles pratiques, mais aussi dans la production de savoirs scientifiques solides et innovants issus de l’imbrication de compétences expérientielles, professionnelles et académiques. Les projets de recherche-action sont </w:t>
      </w:r>
      <w:r w:rsidR="00CE0EBE" w:rsidRPr="00554552">
        <w:t xml:space="preserve">néanmoins </w:t>
      </w:r>
      <w:r w:rsidRPr="00554552">
        <w:t>soumis aux mêmes critères d’éligibilité scientifique que les autres projets.</w:t>
      </w:r>
      <w:r w:rsidR="0068274C" w:rsidRPr="00554552">
        <w:br w:type="page"/>
      </w:r>
    </w:p>
    <w:p w14:paraId="672462A6" w14:textId="024B400C" w:rsidR="00155725" w:rsidRDefault="00155725" w:rsidP="005B10EF">
      <w:pPr>
        <w:pStyle w:val="Titre1"/>
      </w:pPr>
      <w:bookmarkStart w:id="55" w:name="_Toc238221295"/>
      <w:r w:rsidRPr="003E3785">
        <w:lastRenderedPageBreak/>
        <w:t xml:space="preserve">Annexe </w:t>
      </w:r>
      <w:r w:rsidR="0068274C">
        <w:t>2</w:t>
      </w:r>
      <w:r w:rsidR="002C05BE">
        <w:t>.</w:t>
      </w:r>
      <w:r w:rsidRPr="003E3785">
        <w:t xml:space="preserve"> </w:t>
      </w:r>
      <w:r w:rsidR="002C05BE">
        <w:t>P</w:t>
      </w:r>
      <w:r w:rsidRPr="003E3785">
        <w:t xml:space="preserve">résentation des </w:t>
      </w:r>
      <w:r w:rsidR="00AD59D2" w:rsidRPr="003E3785">
        <w:t>organismes financeurs</w:t>
      </w:r>
      <w:bookmarkEnd w:id="55"/>
    </w:p>
    <w:p w14:paraId="08B4FEDD" w14:textId="77777777" w:rsidR="00BA74A6" w:rsidRDefault="00BA74A6" w:rsidP="00BA74A6">
      <w:pPr>
        <w:suppressAutoHyphens w:val="0"/>
        <w:rPr>
          <w:rFonts w:eastAsia="Times New Roman" w:cs="Times New Roman"/>
          <w:b/>
          <w:sz w:val="20"/>
          <w:szCs w:val="20"/>
          <w:lang w:eastAsia="fr-FR"/>
        </w:rPr>
      </w:pPr>
    </w:p>
    <w:p w14:paraId="14E01FEC" w14:textId="542FA2A4" w:rsidR="00BA74A6" w:rsidRPr="00BA74A6" w:rsidRDefault="00BA74A6" w:rsidP="00BA74A6">
      <w:pPr>
        <w:suppressAutoHyphens w:val="0"/>
        <w:rPr>
          <w:rFonts w:eastAsia="Times New Roman" w:cs="Times New Roman"/>
          <w:b/>
          <w:lang w:eastAsia="fr-FR"/>
        </w:rPr>
      </w:pPr>
      <w:r w:rsidRPr="00BA74A6">
        <w:rPr>
          <w:rFonts w:eastAsia="Times New Roman" w:cs="Times New Roman"/>
          <w:b/>
          <w:lang w:eastAsia="fr-FR"/>
        </w:rPr>
        <w:t xml:space="preserve">À propos de la </w:t>
      </w:r>
      <w:r w:rsidR="006A193D">
        <w:rPr>
          <w:rFonts w:eastAsia="Times New Roman" w:cs="Times New Roman"/>
          <w:b/>
          <w:lang w:eastAsia="fr-FR"/>
        </w:rPr>
        <w:t>Drees</w:t>
      </w:r>
    </w:p>
    <w:p w14:paraId="75355807" w14:textId="68952180" w:rsidR="00BA74A6" w:rsidRPr="00BA74A6" w:rsidRDefault="00BA74A6" w:rsidP="00BA74A6">
      <w:pPr>
        <w:suppressAutoHyphens w:val="0"/>
        <w:rPr>
          <w:rFonts w:eastAsia="Times New Roman" w:cs="Times New Roman"/>
          <w:lang w:eastAsia="fr-FR"/>
        </w:rPr>
      </w:pPr>
      <w:r w:rsidRPr="00BA74A6">
        <w:rPr>
          <w:rFonts w:eastAsia="Times New Roman" w:cs="Times New Roman"/>
          <w:lang w:eastAsia="fr-FR"/>
        </w:rPr>
        <w:t>La Direction de la recherche, des études, de l’évaluation et des statistiques (</w:t>
      </w:r>
      <w:r w:rsidR="006A193D">
        <w:rPr>
          <w:rFonts w:eastAsia="Times New Roman" w:cs="Times New Roman"/>
          <w:lang w:eastAsia="fr-FR"/>
        </w:rPr>
        <w:t>Drees</w:t>
      </w:r>
      <w:r w:rsidRPr="00BA74A6">
        <w:rPr>
          <w:rFonts w:eastAsia="Times New Roman" w:cs="Times New Roman"/>
          <w:lang w:eastAsia="fr-FR"/>
        </w:rPr>
        <w:t xml:space="preserve">) est le service statistique ministériel dans les domaines de la santé et du social. Créée par décret en 1998, elle fait partie du service statistique public. À ce titre, son action s’appuie sur un engagement déontologique fort reposant notamment sur l’indépendance, la qualité, le respect du secret statistique, l’impartialité et l’objectivité. La </w:t>
      </w:r>
      <w:r w:rsidR="006A193D">
        <w:rPr>
          <w:rFonts w:eastAsia="Times New Roman" w:cs="Times New Roman"/>
          <w:lang w:eastAsia="fr-FR"/>
        </w:rPr>
        <w:t>Drees</w:t>
      </w:r>
      <w:r w:rsidRPr="00BA74A6">
        <w:rPr>
          <w:rFonts w:eastAsia="Times New Roman" w:cs="Times New Roman"/>
          <w:lang w:eastAsia="fr-FR"/>
        </w:rPr>
        <w:t xml:space="preserve"> intervient également en appui à la conception et à l’évaluation des politiques publiques. Elle apporte par ailleurs ses compétences pour développer le partage des données, algorithmes et codes au sein des ministères chargés de la santé et des solidarités.</w:t>
      </w:r>
    </w:p>
    <w:p w14:paraId="1A7F06B2" w14:textId="77777777" w:rsidR="00BA74A6" w:rsidRPr="00BA74A6" w:rsidRDefault="00BA74A6" w:rsidP="00BA74A6">
      <w:pPr>
        <w:suppressAutoHyphens w:val="0"/>
        <w:rPr>
          <w:rFonts w:eastAsia="Times New Roman" w:cs="Times New Roman"/>
          <w:lang w:eastAsia="fr-FR"/>
        </w:rPr>
      </w:pPr>
    </w:p>
    <w:p w14:paraId="1630A1C6" w14:textId="77777777" w:rsidR="00BA74A6" w:rsidRPr="00BA74A6" w:rsidRDefault="00BA74A6" w:rsidP="00BA74A6">
      <w:pPr>
        <w:suppressAutoHyphens w:val="0"/>
        <w:rPr>
          <w:rFonts w:eastAsia="Times New Roman" w:cs="Times New Roman"/>
          <w:b/>
          <w:lang w:eastAsia="fr-FR"/>
        </w:rPr>
      </w:pPr>
      <w:r w:rsidRPr="00BA74A6">
        <w:rPr>
          <w:rFonts w:eastAsia="Times New Roman" w:cs="Times New Roman"/>
          <w:b/>
          <w:lang w:eastAsia="fr-FR"/>
        </w:rPr>
        <w:t>À propos de sa Mission Recherche</w:t>
      </w:r>
    </w:p>
    <w:p w14:paraId="62BAEADD" w14:textId="77777777" w:rsidR="00BA74A6" w:rsidRPr="00BA74A6" w:rsidRDefault="00BA74A6" w:rsidP="00BA74A6">
      <w:pPr>
        <w:suppressAutoHyphens w:val="0"/>
        <w:rPr>
          <w:rFonts w:eastAsia="Times New Roman" w:cs="Times New Roman"/>
          <w:lang w:eastAsia="fr-FR"/>
        </w:rPr>
      </w:pPr>
      <w:r w:rsidRPr="00BA74A6">
        <w:rPr>
          <w:rFonts w:eastAsia="Times New Roman" w:cs="Times New Roman"/>
          <w:lang w:eastAsia="fr-FR"/>
        </w:rPr>
        <w:t>Depuis sa création en 1982, l’activité principale de la MiRe est de lancer et coordonner avec ses partenaires des programmes de recherche visant à produire des connaissances sur les politiques sanitaires et sociales et à alimenter les réflexions et les décisions des administrations, des partenaires institutionnels ou des acteurs opérationnels. À titre d’information, les derniers programmes de recherche portent sur les thématiques suivantes :</w:t>
      </w:r>
    </w:p>
    <w:p w14:paraId="3FF1C61E" w14:textId="0232728C" w:rsidR="00470940" w:rsidRPr="00470940" w:rsidRDefault="00470940" w:rsidP="00587BD4">
      <w:pPr>
        <w:numPr>
          <w:ilvl w:val="0"/>
          <w:numId w:val="9"/>
        </w:numPr>
        <w:shd w:val="clear" w:color="auto" w:fill="FFFFFF"/>
        <w:suppressAutoHyphens w:val="0"/>
        <w:spacing w:before="100" w:beforeAutospacing="1" w:after="100" w:afterAutospacing="1"/>
        <w:rPr>
          <w:rFonts w:cs="Times New Roman"/>
        </w:rPr>
      </w:pPr>
      <w:hyperlink r:id="rId43" w:history="1">
        <w:r>
          <w:rPr>
            <w:rStyle w:val="Lienhypertexte"/>
            <w:rFonts w:cs="Times New Roman"/>
          </w:rPr>
          <w:t>Les transformations du travail social et de l’intervention sociale</w:t>
        </w:r>
      </w:hyperlink>
      <w:r>
        <w:rPr>
          <w:rFonts w:cs="Times New Roman"/>
        </w:rPr>
        <w:t xml:space="preserve"> (en cours)</w:t>
      </w:r>
    </w:p>
    <w:p w14:paraId="37D11A7E" w14:textId="07F43DC1" w:rsidR="00BA74A6" w:rsidRDefault="00BA74A6" w:rsidP="00587BD4">
      <w:pPr>
        <w:numPr>
          <w:ilvl w:val="0"/>
          <w:numId w:val="9"/>
        </w:numPr>
        <w:shd w:val="clear" w:color="auto" w:fill="FFFFFF"/>
        <w:suppressAutoHyphens w:val="0"/>
        <w:spacing w:before="100" w:beforeAutospacing="1" w:after="100" w:afterAutospacing="1"/>
        <w:rPr>
          <w:rFonts w:cs="Times New Roman"/>
        </w:rPr>
      </w:pPr>
      <w:hyperlink r:id="rId44" w:history="1">
        <w:r w:rsidRPr="00BA74A6">
          <w:rPr>
            <w:rStyle w:val="Lienhypertexte"/>
            <w:rFonts w:eastAsia="Times New Roman" w:cs="Times New Roman"/>
          </w:rPr>
          <w:t>Repenser la protection sociale à l’aune des crises environnementales</w:t>
        </w:r>
      </w:hyperlink>
      <w:r w:rsidRPr="00BA74A6">
        <w:rPr>
          <w:rFonts w:cs="Times New Roman"/>
          <w:color w:val="2C3E50"/>
        </w:rPr>
        <w:t> </w:t>
      </w:r>
      <w:r w:rsidRPr="00BA74A6">
        <w:rPr>
          <w:rFonts w:cs="Times New Roman"/>
        </w:rPr>
        <w:t>(en cours)</w:t>
      </w:r>
    </w:p>
    <w:p w14:paraId="6C3B074F" w14:textId="2A89AF05" w:rsidR="00470940" w:rsidRPr="00BA74A6" w:rsidRDefault="00470940" w:rsidP="00587BD4">
      <w:pPr>
        <w:numPr>
          <w:ilvl w:val="0"/>
          <w:numId w:val="9"/>
        </w:numPr>
        <w:suppressAutoHyphens w:val="0"/>
        <w:rPr>
          <w:rFonts w:eastAsia="Times New Roman" w:cs="Times New Roman"/>
        </w:rPr>
      </w:pPr>
      <w:hyperlink r:id="rId45" w:history="1">
        <w:r w:rsidRPr="00BA74A6">
          <w:rPr>
            <w:rStyle w:val="Lienhypertexte"/>
            <w:rFonts w:eastAsia="Times New Roman" w:cs="Times New Roman"/>
          </w:rPr>
          <w:t>Le suicide et sa prévention</w:t>
        </w:r>
      </w:hyperlink>
      <w:r w:rsidRPr="00BA74A6">
        <w:rPr>
          <w:rFonts w:eastAsia="Times New Roman" w:cs="Times New Roman"/>
        </w:rPr>
        <w:t xml:space="preserve"> (</w:t>
      </w:r>
      <w:r w:rsidR="00CE0EBE">
        <w:rPr>
          <w:rFonts w:eastAsia="Times New Roman" w:cs="Times New Roman"/>
        </w:rPr>
        <w:t>terminé</w:t>
      </w:r>
      <w:r w:rsidRPr="00BA74A6">
        <w:rPr>
          <w:rFonts w:eastAsia="Times New Roman" w:cs="Times New Roman"/>
        </w:rPr>
        <w:t>)</w:t>
      </w:r>
    </w:p>
    <w:p w14:paraId="6BF2376D" w14:textId="5DE5CE68" w:rsidR="00BA74A6" w:rsidRPr="00BA74A6" w:rsidRDefault="00BA74A6" w:rsidP="00587BD4">
      <w:pPr>
        <w:numPr>
          <w:ilvl w:val="0"/>
          <w:numId w:val="9"/>
        </w:numPr>
        <w:suppressAutoHyphens w:val="0"/>
        <w:rPr>
          <w:rFonts w:eastAsia="Times New Roman" w:cs="Times New Roman"/>
        </w:rPr>
      </w:pPr>
      <w:hyperlink r:id="rId46" w:history="1">
        <w:r w:rsidRPr="00BA74A6">
          <w:rPr>
            <w:rStyle w:val="Lienhypertexte"/>
            <w:rFonts w:eastAsia="Times New Roman" w:cs="Times New Roman"/>
          </w:rPr>
          <w:t>Usages des technologies numériques dans les champs de la santé, de l'autonomie et de l’accès aux droits</w:t>
        </w:r>
      </w:hyperlink>
      <w:r w:rsidRPr="00BA74A6">
        <w:rPr>
          <w:rFonts w:eastAsia="Times New Roman" w:cs="Times New Roman"/>
        </w:rPr>
        <w:t xml:space="preserve"> (</w:t>
      </w:r>
      <w:r w:rsidR="00470940">
        <w:rPr>
          <w:rFonts w:eastAsia="Times New Roman" w:cs="Times New Roman"/>
        </w:rPr>
        <w:t>terminé</w:t>
      </w:r>
      <w:r w:rsidRPr="00BA74A6">
        <w:rPr>
          <w:rFonts w:eastAsia="Times New Roman" w:cs="Times New Roman"/>
        </w:rPr>
        <w:t>)</w:t>
      </w:r>
    </w:p>
    <w:p w14:paraId="69D275E5" w14:textId="77777777" w:rsidR="00BA74A6" w:rsidRPr="00BA74A6" w:rsidRDefault="00BA74A6" w:rsidP="00587BD4">
      <w:pPr>
        <w:numPr>
          <w:ilvl w:val="0"/>
          <w:numId w:val="9"/>
        </w:numPr>
        <w:suppressAutoHyphens w:val="0"/>
        <w:rPr>
          <w:rFonts w:eastAsia="Times New Roman" w:cs="Times New Roman"/>
        </w:rPr>
      </w:pPr>
      <w:hyperlink r:id="rId47" w:history="1">
        <w:r w:rsidRPr="00BA74A6">
          <w:rPr>
            <w:rStyle w:val="Lienhypertexte"/>
            <w:rFonts w:eastAsia="Times New Roman" w:cs="Times New Roman"/>
          </w:rPr>
          <w:t>Santé mentale, expérience du travail, du chômage et de la précarité</w:t>
        </w:r>
      </w:hyperlink>
      <w:r w:rsidRPr="00BA74A6">
        <w:rPr>
          <w:rFonts w:eastAsia="Times New Roman" w:cs="Times New Roman"/>
        </w:rPr>
        <w:t xml:space="preserve"> (terminé)</w:t>
      </w:r>
    </w:p>
    <w:p w14:paraId="4A01B219" w14:textId="77777777" w:rsidR="00BA74A6" w:rsidRPr="00BA74A6" w:rsidRDefault="00BA74A6" w:rsidP="00587BD4">
      <w:pPr>
        <w:numPr>
          <w:ilvl w:val="0"/>
          <w:numId w:val="9"/>
        </w:numPr>
        <w:suppressAutoHyphens w:val="0"/>
        <w:rPr>
          <w:rFonts w:cs="Times New Roman"/>
        </w:rPr>
      </w:pPr>
      <w:hyperlink r:id="rId48" w:history="1">
        <w:r w:rsidRPr="00BA74A6">
          <w:rPr>
            <w:rStyle w:val="Lienhypertexte"/>
            <w:rFonts w:eastAsia="Times New Roman" w:cs="Times New Roman"/>
          </w:rPr>
          <w:t>Formes d’économie collaborative et protection sociale</w:t>
        </w:r>
      </w:hyperlink>
      <w:r w:rsidRPr="00BA74A6">
        <w:rPr>
          <w:rFonts w:eastAsia="Times New Roman" w:cs="Times New Roman"/>
        </w:rPr>
        <w:t xml:space="preserve"> (terminé)</w:t>
      </w:r>
    </w:p>
    <w:p w14:paraId="3E1A561A" w14:textId="77777777" w:rsidR="00BA74A6" w:rsidRPr="00BA74A6" w:rsidRDefault="00BA74A6" w:rsidP="00587BD4">
      <w:pPr>
        <w:numPr>
          <w:ilvl w:val="0"/>
          <w:numId w:val="9"/>
        </w:numPr>
        <w:suppressAutoHyphens w:val="0"/>
        <w:rPr>
          <w:rFonts w:cs="Times New Roman"/>
        </w:rPr>
      </w:pPr>
      <w:hyperlink r:id="rId49" w:history="1">
        <w:r w:rsidRPr="00BA74A6">
          <w:rPr>
            <w:rStyle w:val="Lienhypertexte"/>
            <w:rFonts w:eastAsia="Times New Roman" w:cs="Times New Roman"/>
          </w:rPr>
          <w:t>Inégalités sociales de santé</w:t>
        </w:r>
      </w:hyperlink>
      <w:r w:rsidRPr="00BA74A6">
        <w:rPr>
          <w:rFonts w:eastAsia="Times New Roman" w:cs="Times New Roman"/>
        </w:rPr>
        <w:t xml:space="preserve"> (terminé)</w:t>
      </w:r>
    </w:p>
    <w:p w14:paraId="7B7A5C5E" w14:textId="77777777" w:rsidR="00BA74A6" w:rsidRPr="00470940" w:rsidRDefault="00BA74A6" w:rsidP="00BA74A6">
      <w:pPr>
        <w:suppressAutoHyphens w:val="0"/>
        <w:rPr>
          <w:rFonts w:eastAsia="Times New Roman" w:cs="Times New Roman"/>
          <w:b/>
          <w:highlight w:val="yellow"/>
          <w:lang w:eastAsia="fr-FR"/>
        </w:rPr>
      </w:pPr>
    </w:p>
    <w:p w14:paraId="11261234" w14:textId="03368F06" w:rsidR="00BA74A6" w:rsidRPr="00470940" w:rsidRDefault="00BA74A6" w:rsidP="00BA74A6">
      <w:pPr>
        <w:suppressAutoHyphens w:val="0"/>
        <w:rPr>
          <w:rFonts w:eastAsia="Times New Roman" w:cs="Times New Roman"/>
          <w:b/>
          <w:lang w:eastAsia="fr-FR"/>
        </w:rPr>
      </w:pPr>
      <w:r w:rsidRPr="00470940">
        <w:rPr>
          <w:rFonts w:eastAsia="Times New Roman" w:cs="Times New Roman"/>
          <w:b/>
          <w:lang w:eastAsia="fr-FR"/>
        </w:rPr>
        <w:t xml:space="preserve">À propos de </w:t>
      </w:r>
      <w:r w:rsidR="006D21D6">
        <w:rPr>
          <w:rFonts w:eastAsia="Times New Roman" w:cs="Times New Roman"/>
          <w:b/>
          <w:lang w:eastAsia="fr-FR"/>
        </w:rPr>
        <w:t>l’Observatoire National du Suicide (ONS)</w:t>
      </w:r>
    </w:p>
    <w:p w14:paraId="2EF23690" w14:textId="18AB144C" w:rsidR="002128CA" w:rsidRDefault="006D21D6" w:rsidP="006D21D6">
      <w:pPr>
        <w:suppressAutoHyphens w:val="0"/>
        <w:spacing w:before="60" w:after="60"/>
        <w:rPr>
          <w:rFonts w:eastAsia="Times New Roman" w:cs="Times New Roman"/>
          <w:bCs/>
          <w:lang w:eastAsia="fr-FR"/>
        </w:rPr>
      </w:pPr>
      <w:r w:rsidRPr="006D21D6">
        <w:rPr>
          <w:rFonts w:eastAsia="Times New Roman" w:cs="Times New Roman"/>
          <w:bCs/>
          <w:lang w:eastAsia="fr-FR"/>
        </w:rPr>
        <w:t>L’Observatoire National du Suicide (ONS) est une instance consultative créée par le décret n°2013-809 du 9 septembre 2013 et renouvelée en 2023. Présidé par le ministre chargé de la santé, il a pour objectif d’éclairer les acteurs par des analyses statistiques, des travaux de recherches et une veille documentaire stratégique, pour renforcer la prévention du suicide. L’ONS publie tous les deux ans un rapport, qui présente au grand public et aux experts des dossiers thématiques et un suivi des principaux indicateurs des conduites suicidaires.</w:t>
      </w:r>
    </w:p>
    <w:p w14:paraId="59294947" w14:textId="77777777" w:rsidR="006D21D6" w:rsidRPr="006D21D6" w:rsidRDefault="006D21D6" w:rsidP="006D21D6">
      <w:pPr>
        <w:suppressAutoHyphens w:val="0"/>
        <w:spacing w:before="60" w:after="60"/>
        <w:rPr>
          <w:rFonts w:eastAsia="Times New Roman" w:cs="Times New Roman"/>
          <w:bCs/>
          <w:lang w:eastAsia="fr-FR"/>
        </w:rPr>
      </w:pPr>
      <w:r w:rsidRPr="006D21D6">
        <w:rPr>
          <w:rFonts w:eastAsia="Times New Roman" w:cs="Times New Roman"/>
          <w:bCs/>
          <w:lang w:eastAsia="fr-FR"/>
        </w:rPr>
        <w:t>Il intervient sur un large champ de missions :</w:t>
      </w:r>
    </w:p>
    <w:p w14:paraId="1FED0F5F" w14:textId="77777777" w:rsidR="006D21D6" w:rsidRPr="006D21D6" w:rsidRDefault="006D21D6" w:rsidP="00587BD4">
      <w:pPr>
        <w:numPr>
          <w:ilvl w:val="0"/>
          <w:numId w:val="11"/>
        </w:numPr>
        <w:suppressAutoHyphens w:val="0"/>
        <w:spacing w:before="60" w:after="60"/>
        <w:rPr>
          <w:rFonts w:eastAsia="Times New Roman" w:cs="Times New Roman"/>
          <w:bCs/>
          <w:lang w:eastAsia="fr-FR"/>
        </w:rPr>
      </w:pPr>
      <w:r w:rsidRPr="006D21D6">
        <w:rPr>
          <w:rFonts w:eastAsia="Times New Roman" w:cs="Times New Roman"/>
          <w:bCs/>
          <w:lang w:eastAsia="fr-FR"/>
        </w:rPr>
        <w:t>coordonner les différents producteurs de données ;</w:t>
      </w:r>
    </w:p>
    <w:p w14:paraId="64737C89" w14:textId="77777777" w:rsidR="006D21D6" w:rsidRPr="006D21D6" w:rsidRDefault="006D21D6" w:rsidP="00587BD4">
      <w:pPr>
        <w:numPr>
          <w:ilvl w:val="0"/>
          <w:numId w:val="11"/>
        </w:numPr>
        <w:suppressAutoHyphens w:val="0"/>
        <w:spacing w:before="60" w:after="60"/>
        <w:rPr>
          <w:rFonts w:eastAsia="Times New Roman" w:cs="Times New Roman"/>
          <w:bCs/>
          <w:lang w:eastAsia="fr-FR"/>
        </w:rPr>
      </w:pPr>
      <w:r w:rsidRPr="006D21D6">
        <w:rPr>
          <w:rFonts w:eastAsia="Times New Roman" w:cs="Times New Roman"/>
          <w:bCs/>
          <w:lang w:eastAsia="fr-FR"/>
        </w:rPr>
        <w:t>identifier des sujets de recherche, les prioriser et les promouvoir auprès des chercheurs ;</w:t>
      </w:r>
    </w:p>
    <w:p w14:paraId="3D7D897B" w14:textId="77777777" w:rsidR="006D21D6" w:rsidRPr="006D21D6" w:rsidRDefault="006D21D6" w:rsidP="00587BD4">
      <w:pPr>
        <w:numPr>
          <w:ilvl w:val="0"/>
          <w:numId w:val="11"/>
        </w:numPr>
        <w:suppressAutoHyphens w:val="0"/>
        <w:spacing w:before="60" w:after="60"/>
        <w:rPr>
          <w:rFonts w:eastAsia="Times New Roman" w:cs="Times New Roman"/>
          <w:bCs/>
          <w:lang w:eastAsia="fr-FR"/>
        </w:rPr>
      </w:pPr>
      <w:r w:rsidRPr="006D21D6">
        <w:rPr>
          <w:rFonts w:eastAsia="Times New Roman" w:cs="Times New Roman"/>
          <w:bCs/>
          <w:lang w:eastAsia="fr-FR"/>
        </w:rPr>
        <w:t>favoriser l'appropriation des travaux de recherche par les politiques publiques et le public de façon plus générale ainsi que leur diffusion ;</w:t>
      </w:r>
    </w:p>
    <w:p w14:paraId="14101B3D" w14:textId="77777777" w:rsidR="006D21D6" w:rsidRPr="006D21D6" w:rsidRDefault="006D21D6" w:rsidP="00587BD4">
      <w:pPr>
        <w:numPr>
          <w:ilvl w:val="0"/>
          <w:numId w:val="11"/>
        </w:numPr>
        <w:suppressAutoHyphens w:val="0"/>
        <w:spacing w:before="60" w:after="60"/>
        <w:rPr>
          <w:rFonts w:eastAsia="Times New Roman" w:cs="Times New Roman"/>
          <w:bCs/>
          <w:lang w:eastAsia="fr-FR"/>
        </w:rPr>
      </w:pPr>
      <w:r w:rsidRPr="006D21D6">
        <w:rPr>
          <w:rFonts w:eastAsia="Times New Roman" w:cs="Times New Roman"/>
          <w:bCs/>
          <w:lang w:eastAsia="fr-FR"/>
        </w:rPr>
        <w:t>produire des recommandations sur l'amélioration des systèmes d'information et en matière de recherche et d'études ;</w:t>
      </w:r>
    </w:p>
    <w:p w14:paraId="48F1A7AF" w14:textId="77777777" w:rsidR="006D21D6" w:rsidRPr="006D21D6" w:rsidRDefault="006D21D6" w:rsidP="00587BD4">
      <w:pPr>
        <w:numPr>
          <w:ilvl w:val="0"/>
          <w:numId w:val="11"/>
        </w:numPr>
        <w:suppressAutoHyphens w:val="0"/>
        <w:spacing w:before="60" w:after="60"/>
        <w:rPr>
          <w:rFonts w:eastAsia="Times New Roman" w:cs="Times New Roman"/>
          <w:bCs/>
          <w:lang w:eastAsia="fr-FR"/>
        </w:rPr>
      </w:pPr>
      <w:r w:rsidRPr="006D21D6">
        <w:rPr>
          <w:rFonts w:eastAsia="Times New Roman" w:cs="Times New Roman"/>
          <w:bCs/>
          <w:lang w:eastAsia="fr-FR"/>
        </w:rPr>
        <w:t>définir des indicateurs de suivi de la politique de prévention du suicide.</w:t>
      </w:r>
    </w:p>
    <w:p w14:paraId="0569FD6F" w14:textId="77777777" w:rsidR="00FC59F7" w:rsidRDefault="00FC59F7" w:rsidP="00FC59F7">
      <w:pPr>
        <w:suppressAutoHyphens w:val="0"/>
        <w:spacing w:before="60" w:after="60"/>
        <w:rPr>
          <w:rFonts w:eastAsia="Times New Roman" w:cs="Times New Roman"/>
          <w:bCs/>
          <w:lang w:eastAsia="fr-FR"/>
        </w:rPr>
      </w:pPr>
    </w:p>
    <w:p w14:paraId="6214C6B2" w14:textId="25EAA1E3" w:rsidR="00FC59F7" w:rsidRPr="00FC59F7" w:rsidRDefault="00FC59F7" w:rsidP="00FC59F7">
      <w:pPr>
        <w:keepNext/>
        <w:keepLines/>
        <w:suppressAutoHyphens w:val="0"/>
        <w:spacing w:before="60" w:after="60"/>
        <w:rPr>
          <w:rFonts w:eastAsia="Times New Roman" w:cs="Times New Roman"/>
          <w:b/>
          <w:lang w:eastAsia="fr-FR"/>
        </w:rPr>
      </w:pPr>
      <w:r w:rsidRPr="00FC59F7">
        <w:rPr>
          <w:rFonts w:eastAsia="Times New Roman" w:cs="Times New Roman"/>
          <w:b/>
          <w:lang w:eastAsia="fr-FR"/>
        </w:rPr>
        <w:lastRenderedPageBreak/>
        <w:t>À propos de l’</w:t>
      </w:r>
      <w:r w:rsidRPr="00FC59F7">
        <w:rPr>
          <w:rFonts w:eastAsia="Times New Roman" w:cs="Times New Roman"/>
          <w:b/>
          <w:lang w:eastAsia="fr-FR"/>
        </w:rPr>
        <w:t>Institut national de la jeunesse et de l’éducation populaire</w:t>
      </w:r>
      <w:r w:rsidRPr="00FC59F7">
        <w:rPr>
          <w:rFonts w:eastAsia="Times New Roman" w:cs="Times New Roman"/>
          <w:b/>
          <w:lang w:eastAsia="fr-FR"/>
        </w:rPr>
        <w:t xml:space="preserve"> (</w:t>
      </w:r>
      <w:r w:rsidRPr="00FC59F7">
        <w:rPr>
          <w:rFonts w:eastAsia="Times New Roman" w:cs="Times New Roman"/>
          <w:b/>
          <w:lang w:eastAsia="fr-FR"/>
        </w:rPr>
        <w:t>Injep</w:t>
      </w:r>
      <w:r w:rsidRPr="00FC59F7">
        <w:rPr>
          <w:rFonts w:eastAsia="Times New Roman" w:cs="Times New Roman"/>
          <w:b/>
          <w:lang w:eastAsia="fr-FR"/>
        </w:rPr>
        <w:t>)</w:t>
      </w:r>
    </w:p>
    <w:p w14:paraId="17E73AD0" w14:textId="15735AAB" w:rsidR="00FC59F7" w:rsidRDefault="00FC59F7" w:rsidP="00FC59F7">
      <w:pPr>
        <w:keepNext/>
        <w:keepLines/>
        <w:suppressAutoHyphens w:val="0"/>
        <w:spacing w:before="60" w:after="60"/>
        <w:rPr>
          <w:rFonts w:eastAsia="Times New Roman" w:cs="Times New Roman"/>
          <w:bCs/>
          <w:lang w:eastAsia="fr-FR"/>
        </w:rPr>
      </w:pPr>
      <w:r w:rsidRPr="00FC59F7">
        <w:rPr>
          <w:rFonts w:eastAsia="Times New Roman" w:cs="Times New Roman"/>
          <w:bCs/>
          <w:lang w:eastAsia="fr-FR"/>
        </w:rPr>
        <w:t>Les missions et l’activité de l’INJEP sont fixées par décret </w:t>
      </w:r>
      <w:hyperlink r:id="rId50" w:tgtFrame="_blank" w:history="1">
        <w:r w:rsidRPr="00FC59F7">
          <w:rPr>
            <w:rStyle w:val="Lienhypertexte"/>
            <w:rFonts w:eastAsia="Times New Roman" w:cs="Times New Roman"/>
            <w:b/>
            <w:bCs/>
            <w:lang w:eastAsia="fr-FR"/>
          </w:rPr>
          <w:t>n° 2015-1771 du 24 décembre 2015 portant création d’un service à compétence nationale dénommé « Institut national de la jeunesse et de l’éducation populaire »</w:t>
        </w:r>
      </w:hyperlink>
      <w:r w:rsidRPr="00FC59F7">
        <w:rPr>
          <w:rFonts w:eastAsia="Times New Roman" w:cs="Times New Roman"/>
          <w:b/>
          <w:bCs/>
          <w:lang w:eastAsia="fr-FR"/>
        </w:rPr>
        <w:t>. </w:t>
      </w:r>
      <w:r w:rsidRPr="00FC59F7">
        <w:rPr>
          <w:rFonts w:eastAsia="Times New Roman" w:cs="Times New Roman"/>
          <w:bCs/>
          <w:lang w:eastAsia="fr-FR"/>
        </w:rPr>
        <w:t>Ce texte confère à l’INJEP une mission d’observatoire et de pôle de ressources pour l’ensemble des acteurs des champs de la jeunesse, de la vie associative, de l’éducation populaire et du sport.</w:t>
      </w:r>
    </w:p>
    <w:p w14:paraId="0D9B86B8" w14:textId="77777777" w:rsidR="00FC59F7" w:rsidRPr="00FC59F7" w:rsidRDefault="00FC59F7" w:rsidP="00FC59F7">
      <w:pPr>
        <w:suppressAutoHyphens w:val="0"/>
        <w:spacing w:before="60" w:after="60"/>
        <w:rPr>
          <w:rFonts w:eastAsia="Times New Roman" w:cs="Times New Roman"/>
          <w:bCs/>
          <w:lang w:eastAsia="fr-FR"/>
        </w:rPr>
      </w:pPr>
    </w:p>
    <w:p w14:paraId="1CC80C51" w14:textId="77777777" w:rsidR="00FC59F7" w:rsidRPr="00FC59F7" w:rsidRDefault="00FC59F7" w:rsidP="00FC59F7">
      <w:pPr>
        <w:suppressAutoHyphens w:val="0"/>
        <w:spacing w:before="60" w:after="60"/>
        <w:rPr>
          <w:rFonts w:eastAsia="Times New Roman" w:cs="Times New Roman"/>
          <w:bCs/>
          <w:lang w:eastAsia="fr-FR"/>
        </w:rPr>
      </w:pPr>
      <w:r w:rsidRPr="00FC59F7">
        <w:rPr>
          <w:rFonts w:eastAsia="Times New Roman" w:cs="Times New Roman"/>
          <w:b/>
          <w:bCs/>
          <w:lang w:eastAsia="fr-FR"/>
        </w:rPr>
        <w:t>Un observatoire</w:t>
      </w:r>
    </w:p>
    <w:p w14:paraId="418D2F3B" w14:textId="6F7D8702" w:rsidR="00FC59F7" w:rsidRPr="00FC59F7" w:rsidRDefault="00FC59F7" w:rsidP="00FC59F7">
      <w:pPr>
        <w:suppressAutoHyphens w:val="0"/>
        <w:spacing w:before="60" w:after="60"/>
        <w:rPr>
          <w:rFonts w:eastAsia="Times New Roman" w:cs="Times New Roman"/>
          <w:bCs/>
          <w:lang w:eastAsia="fr-FR"/>
        </w:rPr>
      </w:pPr>
      <w:r w:rsidRPr="00FC59F7">
        <w:rPr>
          <w:rFonts w:eastAsia="Times New Roman" w:cs="Times New Roman"/>
          <w:bCs/>
          <w:lang w:eastAsia="fr-FR"/>
        </w:rPr>
        <w:t>L’INJEP produit des analyses et des données statistiques, conduit des recherches, des études ou des évaluations, dans les domaines de la jeunesse, de l’éducation populaire et de la vie associative ainsi que du sport. Le décret prévoit également qu’à la demande du Premier ministre, ou de son ministre de tutelle, l’INJEP soit, seul ou en partenariat, amené à « produire des travaux d’études et d’évaluation liés à la politique interministérielle de jeunesse » ; de même « des activités spécifiques d’observation ou d’expertise d’actions publiques en faveur des jeunes ». L’INJEP assure par ailleurs l’animation du fonds d’expérimentation pour la jeunesse, créé par l’</w:t>
      </w:r>
      <w:hyperlink r:id="rId51" w:history="1">
        <w:r w:rsidRPr="00FC59F7">
          <w:rPr>
            <w:rStyle w:val="Lienhypertexte"/>
            <w:rFonts w:eastAsia="Times New Roman" w:cs="Times New Roman"/>
            <w:bCs/>
            <w:lang w:eastAsia="fr-FR"/>
          </w:rPr>
          <w:t>article 25 de la loi du 1er décembre 2008</w:t>
        </w:r>
      </w:hyperlink>
      <w:r w:rsidRPr="00FC59F7">
        <w:rPr>
          <w:rFonts w:eastAsia="Times New Roman" w:cs="Times New Roman"/>
          <w:bCs/>
          <w:lang w:eastAsia="fr-FR"/>
        </w:rPr>
        <w:t>.</w:t>
      </w:r>
    </w:p>
    <w:p w14:paraId="4C6D3DED" w14:textId="77777777" w:rsidR="00FC59F7" w:rsidRDefault="00FC59F7" w:rsidP="00FC59F7">
      <w:pPr>
        <w:suppressAutoHyphens w:val="0"/>
        <w:spacing w:before="60" w:after="60"/>
        <w:rPr>
          <w:rFonts w:eastAsia="Times New Roman" w:cs="Times New Roman"/>
          <w:b/>
          <w:bCs/>
          <w:lang w:eastAsia="fr-FR"/>
        </w:rPr>
      </w:pPr>
    </w:p>
    <w:p w14:paraId="6059BFED" w14:textId="260C9999" w:rsidR="00FC59F7" w:rsidRPr="00FC59F7" w:rsidRDefault="00FC59F7" w:rsidP="00FC59F7">
      <w:pPr>
        <w:suppressAutoHyphens w:val="0"/>
        <w:spacing w:before="60" w:after="60"/>
        <w:rPr>
          <w:rFonts w:eastAsia="Times New Roman" w:cs="Times New Roman"/>
          <w:bCs/>
          <w:lang w:eastAsia="fr-FR"/>
        </w:rPr>
      </w:pPr>
      <w:r w:rsidRPr="00FC59F7">
        <w:rPr>
          <w:rFonts w:eastAsia="Times New Roman" w:cs="Times New Roman"/>
          <w:b/>
          <w:bCs/>
          <w:lang w:eastAsia="fr-FR"/>
        </w:rPr>
        <w:t>Un pôle de ressources</w:t>
      </w:r>
    </w:p>
    <w:p w14:paraId="147D582E" w14:textId="140C44CB" w:rsidR="00FC59F7" w:rsidRDefault="00FC59F7" w:rsidP="00FC59F7">
      <w:pPr>
        <w:suppressAutoHyphens w:val="0"/>
        <w:spacing w:before="60" w:after="60"/>
        <w:rPr>
          <w:rFonts w:eastAsia="Times New Roman" w:cs="Times New Roman"/>
          <w:bCs/>
          <w:lang w:eastAsia="fr-FR"/>
        </w:rPr>
      </w:pPr>
      <w:r w:rsidRPr="00FC59F7">
        <w:rPr>
          <w:rFonts w:eastAsia="Times New Roman" w:cs="Times New Roman"/>
          <w:bCs/>
          <w:lang w:eastAsia="fr-FR"/>
        </w:rPr>
        <w:t>L’INJEP constitue également un pôle de ressources et d’expertise pour les acteurs de jeunesse, de l’éducation populaire et de la vie associative, pour les assemblées parlementaires et les instances de représentation de la société civile. À ce titre, sa mission est de rassembler, synthétiser, diffuser et valoriser les connaissances sur les jeunes, sur les démarches d’éducation populaire et sur la vie associative ainsi que sur les politiques publiques à travers des produits documentaires, des publications et des événements.</w:t>
      </w:r>
      <w:r>
        <w:rPr>
          <w:rFonts w:eastAsia="Times New Roman" w:cs="Times New Roman"/>
          <w:bCs/>
          <w:lang w:eastAsia="fr-FR"/>
        </w:rPr>
        <w:t xml:space="preserve"> </w:t>
      </w:r>
      <w:r w:rsidRPr="00FC59F7">
        <w:rPr>
          <w:rFonts w:eastAsia="Times New Roman" w:cs="Times New Roman"/>
          <w:bCs/>
          <w:lang w:eastAsia="fr-FR"/>
        </w:rPr>
        <w:t>Ces missions sont assurées en lien avec les services centraux et déconcentrés du ministère chargé de la jeunesse ainsi qu’avec les autres services de l’État intervenant dans les domaines de la jeunesse, de l’éducation populaire et de la vie associative.</w:t>
      </w:r>
    </w:p>
    <w:p w14:paraId="786639D2" w14:textId="77777777" w:rsidR="00FC59F7" w:rsidRPr="00FC59F7" w:rsidRDefault="00FC59F7" w:rsidP="00FC59F7">
      <w:pPr>
        <w:suppressAutoHyphens w:val="0"/>
        <w:spacing w:before="60" w:after="60"/>
        <w:rPr>
          <w:rFonts w:eastAsia="Times New Roman" w:cs="Times New Roman"/>
          <w:bCs/>
          <w:lang w:eastAsia="fr-FR"/>
        </w:rPr>
      </w:pPr>
    </w:p>
    <w:p w14:paraId="011DB262" w14:textId="565FC3B8" w:rsidR="00FC59F7" w:rsidRPr="00FC59F7" w:rsidRDefault="00FC59F7" w:rsidP="00FC59F7">
      <w:pPr>
        <w:suppressAutoHyphens w:val="0"/>
        <w:spacing w:before="60" w:after="60"/>
        <w:rPr>
          <w:rFonts w:eastAsia="Times New Roman" w:cs="Times New Roman"/>
          <w:b/>
          <w:bCs/>
          <w:lang w:eastAsia="fr-FR"/>
        </w:rPr>
      </w:pPr>
      <w:r w:rsidRPr="00FC59F7">
        <w:rPr>
          <w:rFonts w:eastAsia="Times New Roman" w:cs="Times New Roman"/>
          <w:b/>
          <w:bCs/>
          <w:lang w:eastAsia="fr-FR"/>
        </w:rPr>
        <w:t>L’INJEP est organisé autour de cinq missions :</w:t>
      </w:r>
    </w:p>
    <w:p w14:paraId="22E7CA51" w14:textId="77777777" w:rsidR="00FC59F7" w:rsidRPr="00FC59F7" w:rsidRDefault="00FC59F7" w:rsidP="00FC59F7">
      <w:pPr>
        <w:numPr>
          <w:ilvl w:val="0"/>
          <w:numId w:val="12"/>
        </w:numPr>
        <w:suppressAutoHyphens w:val="0"/>
        <w:spacing w:before="60" w:after="60"/>
        <w:rPr>
          <w:rFonts w:eastAsia="Times New Roman" w:cs="Times New Roman"/>
          <w:bCs/>
          <w:lang w:eastAsia="fr-FR"/>
        </w:rPr>
      </w:pPr>
      <w:r w:rsidRPr="00FC59F7">
        <w:rPr>
          <w:rFonts w:eastAsia="Times New Roman" w:cs="Times New Roman"/>
          <w:bCs/>
          <w:lang w:eastAsia="fr-FR"/>
        </w:rPr>
        <w:t>la mission études et recherche (MER) ;</w:t>
      </w:r>
    </w:p>
    <w:p w14:paraId="31495321" w14:textId="77777777" w:rsidR="00FC59F7" w:rsidRPr="00FC59F7" w:rsidRDefault="00FC59F7" w:rsidP="00FC59F7">
      <w:pPr>
        <w:numPr>
          <w:ilvl w:val="0"/>
          <w:numId w:val="12"/>
        </w:numPr>
        <w:suppressAutoHyphens w:val="0"/>
        <w:spacing w:before="60" w:after="60"/>
        <w:rPr>
          <w:rFonts w:eastAsia="Times New Roman" w:cs="Times New Roman"/>
          <w:bCs/>
          <w:lang w:eastAsia="fr-FR"/>
        </w:rPr>
      </w:pPr>
      <w:r w:rsidRPr="00FC59F7">
        <w:rPr>
          <w:rFonts w:eastAsia="Times New Roman" w:cs="Times New Roman"/>
          <w:bCs/>
          <w:lang w:eastAsia="fr-FR"/>
        </w:rPr>
        <w:t>la mission expérimentation et évaluation des politiques publiques (MEEPP) ;</w:t>
      </w:r>
    </w:p>
    <w:p w14:paraId="6506DA53" w14:textId="77777777" w:rsidR="00FC59F7" w:rsidRPr="00FC59F7" w:rsidRDefault="00FC59F7" w:rsidP="00FC59F7">
      <w:pPr>
        <w:numPr>
          <w:ilvl w:val="0"/>
          <w:numId w:val="12"/>
        </w:numPr>
        <w:suppressAutoHyphens w:val="0"/>
        <w:spacing w:before="60" w:after="60"/>
        <w:rPr>
          <w:rFonts w:eastAsia="Times New Roman" w:cs="Times New Roman"/>
          <w:bCs/>
          <w:lang w:eastAsia="fr-FR"/>
        </w:rPr>
      </w:pPr>
      <w:r w:rsidRPr="00FC59F7">
        <w:rPr>
          <w:rFonts w:eastAsia="Times New Roman" w:cs="Times New Roman"/>
          <w:bCs/>
          <w:lang w:eastAsia="fr-FR"/>
        </w:rPr>
        <w:t>la mission enquêtes, données et études statistiques (MEDES) ;</w:t>
      </w:r>
    </w:p>
    <w:p w14:paraId="52F28AFA" w14:textId="77777777" w:rsidR="00FC59F7" w:rsidRPr="00FC59F7" w:rsidRDefault="00FC59F7" w:rsidP="00FC59F7">
      <w:pPr>
        <w:numPr>
          <w:ilvl w:val="0"/>
          <w:numId w:val="12"/>
        </w:numPr>
        <w:suppressAutoHyphens w:val="0"/>
        <w:spacing w:before="60" w:after="60"/>
        <w:rPr>
          <w:rFonts w:eastAsia="Times New Roman" w:cs="Times New Roman"/>
          <w:bCs/>
          <w:lang w:eastAsia="fr-FR"/>
        </w:rPr>
      </w:pPr>
      <w:r w:rsidRPr="00FC59F7">
        <w:rPr>
          <w:rFonts w:eastAsia="Times New Roman" w:cs="Times New Roman"/>
          <w:bCs/>
          <w:lang w:eastAsia="fr-FR"/>
        </w:rPr>
        <w:t>la mission documentation – Centre de ressources (MDOC) ;</w:t>
      </w:r>
    </w:p>
    <w:p w14:paraId="3DCA7715" w14:textId="77777777" w:rsidR="00FC59F7" w:rsidRPr="00FC59F7" w:rsidRDefault="00FC59F7" w:rsidP="00FC59F7">
      <w:pPr>
        <w:numPr>
          <w:ilvl w:val="0"/>
          <w:numId w:val="12"/>
        </w:numPr>
        <w:suppressAutoHyphens w:val="0"/>
        <w:spacing w:before="60" w:after="60"/>
        <w:rPr>
          <w:rFonts w:eastAsia="Times New Roman" w:cs="Times New Roman"/>
          <w:bCs/>
          <w:lang w:eastAsia="fr-FR"/>
        </w:rPr>
      </w:pPr>
      <w:r w:rsidRPr="00FC59F7">
        <w:rPr>
          <w:rFonts w:eastAsia="Times New Roman" w:cs="Times New Roman"/>
          <w:bCs/>
          <w:lang w:eastAsia="fr-FR"/>
        </w:rPr>
        <w:t>la mission valorisation et diffusion (MVD)</w:t>
      </w:r>
    </w:p>
    <w:p w14:paraId="0F340220" w14:textId="77777777" w:rsidR="006D21D6" w:rsidRDefault="006D21D6" w:rsidP="006D21D6">
      <w:pPr>
        <w:suppressAutoHyphens w:val="0"/>
        <w:spacing w:before="60" w:after="60"/>
        <w:rPr>
          <w:rFonts w:eastAsia="Times New Roman" w:cs="Times New Roman"/>
          <w:bCs/>
          <w:lang w:eastAsia="fr-FR"/>
        </w:rPr>
      </w:pPr>
    </w:p>
    <w:sectPr w:rsidR="006D21D6">
      <w:headerReference w:type="default" r:id="rId52"/>
      <w:footerReference w:type="default" r:id="rId53"/>
      <w:pgSz w:w="11906" w:h="16838"/>
      <w:pgMar w:top="1417" w:right="1417" w:bottom="1417" w:left="1417" w:header="0"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262C4F" w14:textId="77777777" w:rsidR="00F32A45" w:rsidRDefault="00F32A45">
      <w:pPr>
        <w:spacing w:line="240" w:lineRule="auto"/>
      </w:pPr>
      <w:r>
        <w:separator/>
      </w:r>
    </w:p>
  </w:endnote>
  <w:endnote w:type="continuationSeparator" w:id="0">
    <w:p w14:paraId="586B053A" w14:textId="77777777" w:rsidR="00F32A45" w:rsidRDefault="00F32A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swiss"/>
    <w:pitch w:val="variable"/>
    <w:sig w:usb0="F7FFAFFF" w:usb1="E9DFFFFF" w:usb2="0000003F" w:usb3="00000000" w:csb0="003F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4924E" w14:textId="653219BF" w:rsidR="00F90148" w:rsidRDefault="00F90148">
    <w:pPr>
      <w:pStyle w:val="Pieddepage"/>
      <w:jc w:val="right"/>
      <w:rPr>
        <w:rFonts w:cs="Calibri"/>
      </w:rPr>
    </w:pPr>
    <w:r>
      <w:fldChar w:fldCharType="begin"/>
    </w:r>
    <w:r>
      <w:instrText>PAGE</w:instrText>
    </w:r>
    <w:r>
      <w:fldChar w:fldCharType="separate"/>
    </w:r>
    <w:r w:rsidR="00CD1F03">
      <w:rPr>
        <w:noProof/>
      </w:rPr>
      <w:t>24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0B3F5" w14:textId="77777777" w:rsidR="00F32A45" w:rsidRDefault="00F32A45">
      <w:pPr>
        <w:rPr>
          <w:sz w:val="12"/>
        </w:rPr>
      </w:pPr>
    </w:p>
  </w:footnote>
  <w:footnote w:type="continuationSeparator" w:id="0">
    <w:p w14:paraId="4FD2F97F" w14:textId="77777777" w:rsidR="00F32A45" w:rsidRDefault="00F32A45">
      <w:pPr>
        <w:rPr>
          <w:sz w:val="12"/>
        </w:rPr>
      </w:pPr>
    </w:p>
  </w:footnote>
  <w:footnote w:id="1">
    <w:p w14:paraId="171F976E" w14:textId="77777777" w:rsidR="00DC4B2F" w:rsidRPr="00D32CB6" w:rsidRDefault="00DC4B2F" w:rsidP="00DC4B2F">
      <w:pPr>
        <w:pStyle w:val="Notedebasdepage"/>
      </w:pPr>
      <w:r w:rsidRPr="00D32CB6">
        <w:rPr>
          <w:rStyle w:val="Appelnotedebasdep"/>
        </w:rPr>
        <w:footnoteRef/>
      </w:r>
      <w:r w:rsidRPr="00D32CB6">
        <w:t xml:space="preserve"> Le numéro de la RFAS de 2009, </w:t>
      </w:r>
      <w:r w:rsidRPr="00D32CB6">
        <w:rPr>
          <w:i/>
          <w:iCs/>
        </w:rPr>
        <w:t>Handicap psychique et vie quotidienne,</w:t>
      </w:r>
      <w:r w:rsidRPr="00D32CB6">
        <w:t xml:space="preserve"> valorise plusieurs recherches qui avaient été amorcées dans le cadre de deux appels à projets lancés par la MiRe en 2005 et en 2008 (avec la CNSA).</w:t>
      </w:r>
    </w:p>
  </w:footnote>
  <w:footnote w:id="2">
    <w:p w14:paraId="320111C8" w14:textId="77777777" w:rsidR="00DC4B2F" w:rsidRPr="00D32CB6" w:rsidRDefault="00DC4B2F" w:rsidP="00DC4B2F">
      <w:pPr>
        <w:pStyle w:val="Notedebasdepage"/>
      </w:pPr>
      <w:r w:rsidRPr="00D32CB6">
        <w:rPr>
          <w:rStyle w:val="Appelnotedebasdep"/>
        </w:rPr>
        <w:footnoteRef/>
      </w:r>
      <w:r w:rsidRPr="00D32CB6">
        <w:t xml:space="preserve"> Voir à ce sujet, le rapport d’information du Sénat, </w:t>
      </w:r>
      <w:r w:rsidRPr="00D32CB6">
        <w:rPr>
          <w:i/>
          <w:iCs/>
        </w:rPr>
        <w:t xml:space="preserve">Après le choc de la crise sanitaire, réinvestir la santé mentale, </w:t>
      </w:r>
      <w:r w:rsidRPr="00D32CB6">
        <w:t xml:space="preserve">2021. </w:t>
      </w:r>
      <w:hyperlink r:id="rId1" w:history="1">
        <w:r w:rsidRPr="00D32CB6">
          <w:rPr>
            <w:rStyle w:val="Lienhypertexte"/>
          </w:rPr>
          <w:t>Après le choc de la crise sanitaire, réinvestir la santé mentale – Sénat</w:t>
        </w:r>
      </w:hyperlink>
      <w:r w:rsidRPr="00D32CB6">
        <w:t>.</w:t>
      </w:r>
    </w:p>
  </w:footnote>
  <w:footnote w:id="3">
    <w:p w14:paraId="6E13EFAF" w14:textId="77777777" w:rsidR="00DC4B2F" w:rsidRDefault="00DC4B2F" w:rsidP="00DC4B2F">
      <w:pPr>
        <w:pStyle w:val="Notedebasdepage"/>
      </w:pPr>
      <w:r>
        <w:rPr>
          <w:rStyle w:val="Appelnotedebasdep"/>
        </w:rPr>
        <w:footnoteRef/>
      </w:r>
      <w:r>
        <w:t xml:space="preserve"> </w:t>
      </w:r>
      <w:r w:rsidRPr="003F28E5">
        <w:t xml:space="preserve">La revue de littérature </w:t>
      </w:r>
      <w:r w:rsidRPr="003F28E5">
        <w:rPr>
          <w:i/>
          <w:iCs/>
        </w:rPr>
        <w:t>Comprendre la santé mentale des jeunes</w:t>
      </w:r>
      <w:r w:rsidRPr="003F28E5">
        <w:t xml:space="preserve"> publiée en juillet 2026 par l’INJEP est p</w:t>
      </w:r>
      <w:r>
        <w:t>récieuse pour son examen des transformations et des enjeux actuels.</w:t>
      </w:r>
    </w:p>
  </w:footnote>
  <w:footnote w:id="4">
    <w:p w14:paraId="0DDEF81A" w14:textId="77777777" w:rsidR="00DC4B2F" w:rsidRPr="00D32CB6" w:rsidRDefault="00DC4B2F" w:rsidP="00DC4B2F">
      <w:pPr>
        <w:pStyle w:val="Notedebasdepage"/>
      </w:pPr>
      <w:r w:rsidRPr="00D32CB6">
        <w:rPr>
          <w:rStyle w:val="Appelnotedebasdep"/>
        </w:rPr>
        <w:footnoteRef/>
      </w:r>
      <w:r w:rsidRPr="00D32CB6">
        <w:t xml:space="preserve"> Une journée d’étude interdisciplinaire tenue le 20 juin 2025 a permis de synthétiser de nombreux éléments sur les enjeux épistémiques et politiques d’un espace en pleine recomposition (Brunn </w:t>
      </w:r>
      <w:r w:rsidRPr="00D32CB6">
        <w:rPr>
          <w:i/>
          <w:iCs/>
        </w:rPr>
        <w:t>et al.</w:t>
      </w:r>
      <w:r w:rsidRPr="00D32CB6">
        <w:t>, 2026)</w:t>
      </w:r>
    </w:p>
  </w:footnote>
  <w:footnote w:id="5">
    <w:p w14:paraId="3DE0A3BC" w14:textId="77777777" w:rsidR="00DC4B2F" w:rsidRPr="00D32CB6" w:rsidRDefault="00DC4B2F" w:rsidP="00DC4B2F">
      <w:pPr>
        <w:pStyle w:val="Notedebasdepage"/>
      </w:pPr>
      <w:r w:rsidRPr="00D32CB6">
        <w:rPr>
          <w:rStyle w:val="Appelnotedebasdep"/>
        </w:rPr>
        <w:footnoteRef/>
      </w:r>
      <w:r w:rsidRPr="00D32CB6">
        <w:t xml:space="preserve"> En allant de l’incitation à faire à la restauration des capacités à faire (</w:t>
      </w:r>
      <w:r w:rsidRPr="00D32CB6">
        <w:rPr>
          <w:i/>
          <w:iCs/>
        </w:rPr>
        <w:t>empowerment</w:t>
      </w:r>
      <w:r w:rsidRPr="00D32CB6">
        <w:t>).</w:t>
      </w:r>
    </w:p>
  </w:footnote>
  <w:footnote w:id="6">
    <w:p w14:paraId="6DF6362A" w14:textId="77777777" w:rsidR="00DC4B2F" w:rsidRPr="00D32CB6" w:rsidRDefault="00DC4B2F" w:rsidP="00DC4B2F">
      <w:pPr>
        <w:pStyle w:val="Notedebasdepage"/>
      </w:pPr>
      <w:r w:rsidRPr="00D32CB6">
        <w:rPr>
          <w:rStyle w:val="Appelnotedebasdep"/>
        </w:rPr>
        <w:footnoteRef/>
      </w:r>
      <w:r w:rsidRPr="00D32CB6">
        <w:t xml:space="preserve"> Les jeunes femmes (10-25 ans) appartenant à un ménage dont le niveau de vie figure parmi les 20 % les plus pauvres sont hospitalisées pour GAI 2,5 fois plus souvent que les jeunes femmes vivant dans un ménage parmi les 20 % les plus aisés et 7,5 fois plus souvent que les jeunes hommes les plus aisés (de Champs et Guichard, 2025).</w:t>
      </w:r>
    </w:p>
  </w:footnote>
  <w:footnote w:id="7">
    <w:p w14:paraId="1988E56B" w14:textId="77777777" w:rsidR="00DC4B2F" w:rsidRPr="00D32CB6" w:rsidRDefault="00DC4B2F" w:rsidP="00DC4B2F">
      <w:pPr>
        <w:pStyle w:val="Notedebasdepage"/>
      </w:pPr>
      <w:r w:rsidRPr="00D32CB6">
        <w:rPr>
          <w:rStyle w:val="Appelnotedebasdep"/>
        </w:rPr>
        <w:footnoteRef/>
      </w:r>
      <w:r w:rsidRPr="00D32CB6">
        <w:t xml:space="preserve"> Des travaux montrent une permanence de la contrainte dans certains hôpitaux psychiatriques depuis un siècle (Eyraud et Moreau, 2013), interrogeant la politique institutionnelle de manière plus large, et ce en dépit de l’entrée en vigueur en 2021 de la Feuille de route « Santé mentale et psychiatrie » qui prévoit la baisse des soins sans consentement, d’isolement et de contention (Coldefy </w:t>
      </w:r>
      <w:r w:rsidRPr="00D32CB6">
        <w:rPr>
          <w:i/>
          <w:iCs/>
        </w:rPr>
        <w:t>et al</w:t>
      </w:r>
      <w:r w:rsidRPr="00D32CB6">
        <w:t>., 2022).</w:t>
      </w:r>
    </w:p>
  </w:footnote>
  <w:footnote w:id="8">
    <w:p w14:paraId="33D5EC99" w14:textId="77777777" w:rsidR="00DC4B2F" w:rsidRPr="00D32CB6" w:rsidRDefault="00DC4B2F" w:rsidP="00DC4B2F">
      <w:pPr>
        <w:pStyle w:val="Notedebasdepage"/>
      </w:pPr>
      <w:r w:rsidRPr="00D32CB6">
        <w:rPr>
          <w:rStyle w:val="Appelnotedebasdep"/>
        </w:rPr>
        <w:footnoteRef/>
      </w:r>
      <w:r w:rsidRPr="00D32CB6">
        <w:t xml:space="preserve"> Également nommée « extermination douce », termes recouvrant la mort par dénutrition, froid et manque de soins, de 45 à 50 000 patients internés dans les hôpitaux psychiatriques français sous le régime de Vichy (1940-1945), du fait d’une négligence administrative systématique (Lafont, 2000 ; Von Bueltzingsloewen, 2009).</w:t>
      </w:r>
    </w:p>
  </w:footnote>
  <w:footnote w:id="9">
    <w:p w14:paraId="30E2824C" w14:textId="77777777" w:rsidR="00DC4B2F" w:rsidRPr="00D32CB6" w:rsidRDefault="00DC4B2F" w:rsidP="00DC4B2F">
      <w:pPr>
        <w:pStyle w:val="Notedebasdepage"/>
      </w:pPr>
      <w:r w:rsidRPr="00D32CB6">
        <w:rPr>
          <w:rStyle w:val="Appelnotedebasdep"/>
        </w:rPr>
        <w:footnoteRef/>
      </w:r>
      <w:r w:rsidRPr="00D32CB6">
        <w:t xml:space="preserve"> Loi Kouchner du 4 mars 2002, qui fait suite aux états généraux de la santé menés en 1999.</w:t>
      </w:r>
    </w:p>
  </w:footnote>
  <w:footnote w:id="10">
    <w:p w14:paraId="7CAD79D8" w14:textId="77777777" w:rsidR="00DC4B2F" w:rsidRPr="00D32CB6" w:rsidRDefault="00DC4B2F" w:rsidP="00DC4B2F">
      <w:pPr>
        <w:pStyle w:val="Notedebasdepage"/>
      </w:pPr>
      <w:r w:rsidRPr="00D32CB6">
        <w:rPr>
          <w:rStyle w:val="Appelnotedebasdep"/>
        </w:rPr>
        <w:footnoteRef/>
      </w:r>
      <w:r w:rsidRPr="00D32CB6">
        <w:t xml:space="preserve"> Influencée par le rapport Piel-Roelandt, la loi, dans son versant psychiatrique, visait notamment à la déstigmatisation des troubles psychiques et des malades mentaux.</w:t>
      </w:r>
    </w:p>
  </w:footnote>
  <w:footnote w:id="11">
    <w:p w14:paraId="26284450" w14:textId="77777777" w:rsidR="00DC4B2F" w:rsidRPr="00D32CB6" w:rsidRDefault="00DC4B2F" w:rsidP="00DC4B2F">
      <w:pPr>
        <w:pStyle w:val="Notedebasdepage"/>
      </w:pPr>
      <w:r w:rsidRPr="00D32CB6">
        <w:rPr>
          <w:rStyle w:val="Appelnotedebasdep"/>
        </w:rPr>
        <w:footnoteRef/>
      </w:r>
      <w:r w:rsidRPr="00D32CB6">
        <w:t xml:space="preserve"> Loi du 11 février 2005.</w:t>
      </w:r>
    </w:p>
  </w:footnote>
  <w:footnote w:id="12">
    <w:p w14:paraId="71D179D1" w14:textId="77777777" w:rsidR="00DC4B2F" w:rsidRPr="00D32CB6" w:rsidRDefault="00DC4B2F" w:rsidP="00DC4B2F">
      <w:pPr>
        <w:pStyle w:val="Notedebasdepage"/>
      </w:pPr>
      <w:r w:rsidRPr="00D32CB6">
        <w:rPr>
          <w:rStyle w:val="Appelnotedebasdep"/>
        </w:rPr>
        <w:footnoteRef/>
      </w:r>
      <w:r w:rsidRPr="00D32CB6">
        <w:t xml:space="preserve"> Convention relative aux droits des personnes handicapées (CDPH), adoptée par l’ONU en 2006, ratifiée par la France le 18 février 2010 ; l’article 14 sur la liberté et la sûreté de la personne est régulièrement invoqué dans les débats sur la coercition psychiatrique.</w:t>
      </w:r>
    </w:p>
  </w:footnote>
  <w:footnote w:id="13">
    <w:p w14:paraId="0C3B2F14" w14:textId="77777777" w:rsidR="00DC4B2F" w:rsidRPr="00D32CB6" w:rsidRDefault="00DC4B2F" w:rsidP="00DC4B2F">
      <w:pPr>
        <w:pStyle w:val="Notedebasdepage"/>
      </w:pPr>
      <w:r w:rsidRPr="00D32CB6">
        <w:rPr>
          <w:rStyle w:val="Appelnotedebasdep"/>
        </w:rPr>
        <w:footnoteRef/>
      </w:r>
      <w:r w:rsidRPr="00D32CB6">
        <w:t xml:space="preserve"> Loi du 5 juillet 2011. </w:t>
      </w:r>
    </w:p>
  </w:footnote>
  <w:footnote w:id="14">
    <w:p w14:paraId="5589D853" w14:textId="77777777" w:rsidR="00DC4B2F" w:rsidRPr="00D32CB6" w:rsidRDefault="00DC4B2F" w:rsidP="00DC4B2F">
      <w:pPr>
        <w:pStyle w:val="Notedebasdepage"/>
      </w:pPr>
      <w:r w:rsidRPr="00D32CB6">
        <w:rPr>
          <w:rStyle w:val="Appelnotedebasdep"/>
        </w:rPr>
        <w:footnoteRef/>
      </w:r>
      <w:r w:rsidRPr="00D32CB6">
        <w:t xml:space="preserve"> Décision du Conseil constitutionnel de juin 2020 ; réforme du 30 septembre 2021.</w:t>
      </w:r>
    </w:p>
  </w:footnote>
  <w:footnote w:id="15">
    <w:p w14:paraId="243CBBA0" w14:textId="77777777" w:rsidR="00DC4B2F" w:rsidRPr="00D32CB6" w:rsidRDefault="00DC4B2F" w:rsidP="00DC4B2F">
      <w:pPr>
        <w:pStyle w:val="Notedebasdepage"/>
      </w:pPr>
      <w:r w:rsidRPr="00D32CB6">
        <w:rPr>
          <w:rStyle w:val="Appelnotedebasdep"/>
        </w:rPr>
        <w:footnoteRef/>
      </w:r>
      <w:r w:rsidRPr="00D32CB6">
        <w:t xml:space="preserve"> Le rétablissement (</w:t>
      </w:r>
      <w:r w:rsidRPr="00D32CB6">
        <w:rPr>
          <w:i/>
          <w:iCs/>
        </w:rPr>
        <w:t>recovery</w:t>
      </w:r>
      <w:r w:rsidRPr="00D32CB6">
        <w:t>) est un processus individuel de reconquête d</w:t>
      </w:r>
      <w:r>
        <w:t>’</w:t>
      </w:r>
      <w:r w:rsidRPr="00D32CB6">
        <w:t>une vie qui a du sens, indépendamment de la persistance des symptômes</w:t>
      </w:r>
      <w:r>
        <w:t> </w:t>
      </w:r>
      <w:r w:rsidRPr="00D32CB6">
        <w:t>; le concept est issu du mouvement des usagers en santé mentale (Anthony, 1993).</w:t>
      </w:r>
    </w:p>
  </w:footnote>
  <w:footnote w:id="16">
    <w:p w14:paraId="48F6A9F0" w14:textId="77777777" w:rsidR="00DC4B2F" w:rsidRDefault="00DC4B2F" w:rsidP="00DC4B2F">
      <w:pPr>
        <w:pStyle w:val="Notedebasdepage"/>
      </w:pPr>
      <w:r>
        <w:rPr>
          <w:rStyle w:val="Appelnotedebasdep"/>
        </w:rPr>
        <w:t>[1]</w:t>
      </w:r>
      <w:r>
        <w:t xml:space="preserve"> Également appelées « plan de crise conjoint », il s’agit d’outils de concertation formalisant les préférences de soins d'un patient en amont d'une crise au cours de laquelle sa capacité à donner son consentement serait altéré.</w:t>
      </w:r>
    </w:p>
  </w:footnote>
  <w:footnote w:id="17">
    <w:p w14:paraId="39E23A99" w14:textId="77777777" w:rsidR="00DC4B2F" w:rsidRPr="00D32CB6" w:rsidRDefault="00DC4B2F" w:rsidP="00DC4B2F">
      <w:pPr>
        <w:pStyle w:val="Notedebasdepage"/>
      </w:pPr>
      <w:r w:rsidRPr="00D32CB6">
        <w:rPr>
          <w:rStyle w:val="Appelnotedebasdep"/>
        </w:rPr>
        <w:footnoteRef/>
      </w:r>
      <w:r w:rsidRPr="00D32CB6">
        <w:t xml:space="preserve"> </w:t>
      </w:r>
      <w:hyperlink r:id="rId2" w:history="1">
        <w:r w:rsidRPr="00D32CB6">
          <w:rPr>
            <w:rStyle w:val="Lienhypertexte"/>
          </w:rPr>
          <w:t>Avis n°147 du CCNE (9 janvier 2025).</w:t>
        </w:r>
      </w:hyperlink>
    </w:p>
  </w:footnote>
  <w:footnote w:id="18">
    <w:p w14:paraId="36EED454" w14:textId="77777777" w:rsidR="00DC4B2F" w:rsidRPr="00D32CB6" w:rsidRDefault="00DC4B2F" w:rsidP="00DC4B2F">
      <w:pPr>
        <w:pStyle w:val="Notedebasdepage"/>
      </w:pPr>
      <w:r w:rsidRPr="00D32CB6">
        <w:rPr>
          <w:rStyle w:val="Appelnotedebasdep"/>
        </w:rPr>
        <w:footnoteRef/>
      </w:r>
      <w:r w:rsidRPr="00D32CB6">
        <w:t xml:space="preserve"> Voir à ce titre les travaux de l’Atlas de la santé mentale.</w:t>
      </w:r>
    </w:p>
  </w:footnote>
  <w:footnote w:id="19">
    <w:p w14:paraId="03545EB4" w14:textId="77777777" w:rsidR="00DC4B2F" w:rsidRPr="00D32CB6" w:rsidRDefault="00DC4B2F" w:rsidP="00DC4B2F">
      <w:pPr>
        <w:pStyle w:val="Notedebasdepage"/>
      </w:pPr>
      <w:r w:rsidRPr="00D32CB6">
        <w:rPr>
          <w:rStyle w:val="Appelnotedebasdep"/>
        </w:rPr>
        <w:footnoteRef/>
      </w:r>
      <w:r w:rsidRPr="00D32CB6">
        <w:t xml:space="preserve"> En 2007 est instauré le recueil de l’activité d’informations médicalisé en psychiatrie (RimP). </w:t>
      </w:r>
    </w:p>
  </w:footnote>
  <w:footnote w:id="20">
    <w:p w14:paraId="56C1DE1B" w14:textId="77777777" w:rsidR="00DC4B2F" w:rsidRPr="00D32CB6" w:rsidRDefault="00DC4B2F" w:rsidP="00DC4B2F">
      <w:pPr>
        <w:pStyle w:val="Notedebasdepage"/>
      </w:pPr>
      <w:r w:rsidRPr="00D32CB6">
        <w:rPr>
          <w:rStyle w:val="Appelnotedebasdep"/>
        </w:rPr>
        <w:footnoteRef/>
      </w:r>
      <w:r w:rsidRPr="00D32CB6">
        <w:t xml:space="preserve"> Citons par exemple le programme</w:t>
      </w:r>
      <w:r w:rsidRPr="00D32CB6">
        <w:rPr>
          <w:szCs w:val="18"/>
        </w:rPr>
        <w:t xml:space="preserve"> VigilanS, le numéro 3114 </w:t>
      </w:r>
      <w:r w:rsidRPr="00D32CB6">
        <w:t>et</w:t>
      </w:r>
      <w:r w:rsidRPr="00D32CB6">
        <w:rPr>
          <w:szCs w:val="18"/>
        </w:rPr>
        <w:t xml:space="preserve"> le programme Papageno.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90148" w14:paraId="2BA4B1FE" w14:textId="77777777" w:rsidTr="2D5697AD">
      <w:tc>
        <w:tcPr>
          <w:tcW w:w="3020" w:type="dxa"/>
        </w:tcPr>
        <w:p w14:paraId="36FE051F" w14:textId="0B2CAE93" w:rsidR="00F90148" w:rsidRDefault="00F90148" w:rsidP="34115BE5">
          <w:pPr>
            <w:pStyle w:val="En-tte"/>
            <w:ind w:left="-115"/>
          </w:pPr>
        </w:p>
      </w:tc>
      <w:tc>
        <w:tcPr>
          <w:tcW w:w="3020" w:type="dxa"/>
        </w:tcPr>
        <w:p w14:paraId="0633BC49" w14:textId="29BCF54A" w:rsidR="00F90148" w:rsidRDefault="00F90148" w:rsidP="34115BE5">
          <w:pPr>
            <w:pStyle w:val="En-tte"/>
            <w:jc w:val="center"/>
          </w:pPr>
        </w:p>
      </w:tc>
      <w:tc>
        <w:tcPr>
          <w:tcW w:w="3020" w:type="dxa"/>
        </w:tcPr>
        <w:p w14:paraId="73C10255" w14:textId="43893A04" w:rsidR="00F90148" w:rsidRDefault="00F90148" w:rsidP="34115BE5">
          <w:pPr>
            <w:pStyle w:val="En-tte"/>
            <w:ind w:right="-115"/>
            <w:jc w:val="right"/>
          </w:pPr>
        </w:p>
      </w:tc>
    </w:tr>
  </w:tbl>
  <w:p w14:paraId="2A25F21E" w14:textId="7275DEE0" w:rsidR="00F90148" w:rsidRDefault="00F90148" w:rsidP="34115BE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F54D69"/>
    <w:multiLevelType w:val="multilevel"/>
    <w:tmpl w:val="FAE6F7F0"/>
    <w:lvl w:ilvl="0">
      <w:start w:val="1"/>
      <w:numFmt w:val="none"/>
      <w:suff w:val="nothing"/>
      <w:lvlText w:val=""/>
      <w:lvlJc w:val="left"/>
      <w:pPr>
        <w:tabs>
          <w:tab w:val="num" w:pos="0"/>
        </w:tabs>
        <w:ind w:left="0" w:firstLine="0"/>
      </w:pPr>
    </w:lvl>
    <w:lvl w:ilvl="1">
      <w:start w:val="1"/>
      <w:numFmt w:val="decimal"/>
      <w:lvlText w:val="%2"/>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BB9380D"/>
    <w:multiLevelType w:val="multilevel"/>
    <w:tmpl w:val="F0A22DD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Titre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D4F2718"/>
    <w:multiLevelType w:val="multilevel"/>
    <w:tmpl w:val="0A42F6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2867B96"/>
    <w:multiLevelType w:val="multilevel"/>
    <w:tmpl w:val="094061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45C42DAE"/>
    <w:multiLevelType w:val="multilevel"/>
    <w:tmpl w:val="3056A872"/>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DE456B6"/>
    <w:multiLevelType w:val="multilevel"/>
    <w:tmpl w:val="979EFC6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 w15:restartNumberingAfterBreak="0">
    <w:nsid w:val="54656EAF"/>
    <w:multiLevelType w:val="multilevel"/>
    <w:tmpl w:val="FD183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093165"/>
    <w:multiLevelType w:val="multilevel"/>
    <w:tmpl w:val="D12654F6"/>
    <w:lvl w:ilvl="0">
      <w:start w:val="1"/>
      <w:numFmt w:val="bullet"/>
      <w:pStyle w:val="Paragraphedeliste"/>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5BD42676"/>
    <w:multiLevelType w:val="multilevel"/>
    <w:tmpl w:val="4924695C"/>
    <w:lvl w:ilvl="0">
      <w:start w:val="1"/>
      <w:numFmt w:val="decimal"/>
      <w:lvlText w:val="%1"/>
      <w:lvlJc w:val="left"/>
      <w:pPr>
        <w:tabs>
          <w:tab w:val="num" w:pos="0"/>
        </w:tabs>
        <w:ind w:left="720" w:hanging="360"/>
      </w:pPr>
    </w:lvl>
    <w:lvl w:ilvl="1">
      <w:start w:val="1"/>
      <w:numFmt w:val="lowerLetter"/>
      <w:lvlText w:val="%1.%2"/>
      <w:lvlJc w:val="left"/>
      <w:pPr>
        <w:tabs>
          <w:tab w:val="num" w:pos="0"/>
        </w:tabs>
        <w:ind w:left="1440" w:hanging="360"/>
      </w:pPr>
    </w:lvl>
    <w:lvl w:ilvl="2">
      <w:start w:val="1"/>
      <w:numFmt w:val="lowerRoman"/>
      <w:lvlText w:val="%1.%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3.%4.%5"/>
      <w:lvlJc w:val="left"/>
      <w:pPr>
        <w:tabs>
          <w:tab w:val="num" w:pos="0"/>
        </w:tabs>
        <w:ind w:left="3600" w:hanging="360"/>
      </w:pPr>
    </w:lvl>
    <w:lvl w:ilvl="5">
      <w:start w:val="1"/>
      <w:numFmt w:val="lowerRoman"/>
      <w:lvlText w:val="%4.%5.%6"/>
      <w:lvlJc w:val="right"/>
      <w:pPr>
        <w:tabs>
          <w:tab w:val="num" w:pos="0"/>
        </w:tabs>
        <w:ind w:left="4320" w:hanging="180"/>
      </w:pPr>
    </w:lvl>
    <w:lvl w:ilvl="6">
      <w:start w:val="1"/>
      <w:numFmt w:val="decimal"/>
      <w:lvlText w:val="%5.%6.%7"/>
      <w:lvlJc w:val="left"/>
      <w:pPr>
        <w:tabs>
          <w:tab w:val="num" w:pos="0"/>
        </w:tabs>
        <w:ind w:left="5040" w:hanging="360"/>
      </w:pPr>
    </w:lvl>
    <w:lvl w:ilvl="7">
      <w:start w:val="1"/>
      <w:numFmt w:val="lowerLetter"/>
      <w:lvlText w:val="%6.%7.%8"/>
      <w:lvlJc w:val="left"/>
      <w:pPr>
        <w:tabs>
          <w:tab w:val="num" w:pos="0"/>
        </w:tabs>
        <w:ind w:left="5760" w:hanging="360"/>
      </w:pPr>
    </w:lvl>
    <w:lvl w:ilvl="8">
      <w:start w:val="1"/>
      <w:numFmt w:val="lowerRoman"/>
      <w:lvlText w:val="%7.%8.%9"/>
      <w:lvlJc w:val="right"/>
      <w:pPr>
        <w:tabs>
          <w:tab w:val="num" w:pos="0"/>
        </w:tabs>
        <w:ind w:left="6480" w:hanging="180"/>
      </w:pPr>
    </w:lvl>
  </w:abstractNum>
  <w:abstractNum w:abstractNumId="9" w15:restartNumberingAfterBreak="0">
    <w:nsid w:val="5F371556"/>
    <w:multiLevelType w:val="multilevel"/>
    <w:tmpl w:val="8240799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63E16E74"/>
    <w:multiLevelType w:val="multilevel"/>
    <w:tmpl w:val="2EDE4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4F3F1A"/>
    <w:multiLevelType w:val="hybridMultilevel"/>
    <w:tmpl w:val="37C03EF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479538739">
    <w:abstractNumId w:val="1"/>
  </w:num>
  <w:num w:numId="2" w16cid:durableId="1135871460">
    <w:abstractNumId w:val="0"/>
  </w:num>
  <w:num w:numId="3" w16cid:durableId="917638068">
    <w:abstractNumId w:val="3"/>
  </w:num>
  <w:num w:numId="4" w16cid:durableId="1090006576">
    <w:abstractNumId w:val="9"/>
  </w:num>
  <w:num w:numId="5" w16cid:durableId="529759178">
    <w:abstractNumId w:val="8"/>
  </w:num>
  <w:num w:numId="6" w16cid:durableId="410739259">
    <w:abstractNumId w:val="4"/>
  </w:num>
  <w:num w:numId="7" w16cid:durableId="1397440006">
    <w:abstractNumId w:val="7"/>
  </w:num>
  <w:num w:numId="8" w16cid:durableId="1561865641">
    <w:abstractNumId w:val="5"/>
  </w:num>
  <w:num w:numId="9" w16cid:durableId="428551144">
    <w:abstractNumId w:val="11"/>
  </w:num>
  <w:num w:numId="10" w16cid:durableId="14306213">
    <w:abstractNumId w:val="2"/>
  </w:num>
  <w:num w:numId="11" w16cid:durableId="1588028485">
    <w:abstractNumId w:val="10"/>
  </w:num>
  <w:num w:numId="12" w16cid:durableId="131479341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4124"/>
    <w:rsid w:val="0000174F"/>
    <w:rsid w:val="000024C8"/>
    <w:rsid w:val="00007E96"/>
    <w:rsid w:val="00014EED"/>
    <w:rsid w:val="00017C87"/>
    <w:rsid w:val="000222C9"/>
    <w:rsid w:val="000300A7"/>
    <w:rsid w:val="0003142B"/>
    <w:rsid w:val="00035E35"/>
    <w:rsid w:val="00040738"/>
    <w:rsid w:val="000441C1"/>
    <w:rsid w:val="00045060"/>
    <w:rsid w:val="00047986"/>
    <w:rsid w:val="0005340A"/>
    <w:rsid w:val="0005358A"/>
    <w:rsid w:val="00056743"/>
    <w:rsid w:val="00061BDF"/>
    <w:rsid w:val="00070A00"/>
    <w:rsid w:val="000759BD"/>
    <w:rsid w:val="00076B7F"/>
    <w:rsid w:val="00085175"/>
    <w:rsid w:val="00087CD1"/>
    <w:rsid w:val="0009234A"/>
    <w:rsid w:val="00092F79"/>
    <w:rsid w:val="000937EC"/>
    <w:rsid w:val="000962C5"/>
    <w:rsid w:val="00096425"/>
    <w:rsid w:val="000A005B"/>
    <w:rsid w:val="000A4FF5"/>
    <w:rsid w:val="000A6790"/>
    <w:rsid w:val="000A7CF6"/>
    <w:rsid w:val="000B046D"/>
    <w:rsid w:val="000B5844"/>
    <w:rsid w:val="000C08C1"/>
    <w:rsid w:val="000C166C"/>
    <w:rsid w:val="000C1AB5"/>
    <w:rsid w:val="000C656F"/>
    <w:rsid w:val="000D54EF"/>
    <w:rsid w:val="000E1331"/>
    <w:rsid w:val="000E32F5"/>
    <w:rsid w:val="000E696C"/>
    <w:rsid w:val="000E6E98"/>
    <w:rsid w:val="000F4D28"/>
    <w:rsid w:val="00100CF8"/>
    <w:rsid w:val="001066FA"/>
    <w:rsid w:val="0011084A"/>
    <w:rsid w:val="0011112B"/>
    <w:rsid w:val="001122C0"/>
    <w:rsid w:val="00120E89"/>
    <w:rsid w:val="00125AEA"/>
    <w:rsid w:val="00131BF5"/>
    <w:rsid w:val="001407E0"/>
    <w:rsid w:val="0014425C"/>
    <w:rsid w:val="00147366"/>
    <w:rsid w:val="00147F95"/>
    <w:rsid w:val="00150A2C"/>
    <w:rsid w:val="00152DB4"/>
    <w:rsid w:val="00155725"/>
    <w:rsid w:val="001633D7"/>
    <w:rsid w:val="00164BF6"/>
    <w:rsid w:val="00166508"/>
    <w:rsid w:val="001672FA"/>
    <w:rsid w:val="00174D0F"/>
    <w:rsid w:val="00181801"/>
    <w:rsid w:val="00184A47"/>
    <w:rsid w:val="00191CC2"/>
    <w:rsid w:val="00193DE2"/>
    <w:rsid w:val="001964F1"/>
    <w:rsid w:val="0019EC91"/>
    <w:rsid w:val="001A0989"/>
    <w:rsid w:val="001A3563"/>
    <w:rsid w:val="001A4E1F"/>
    <w:rsid w:val="001B0896"/>
    <w:rsid w:val="001C6D4B"/>
    <w:rsid w:val="001E2C03"/>
    <w:rsid w:val="001E4385"/>
    <w:rsid w:val="001E452D"/>
    <w:rsid w:val="001E4A83"/>
    <w:rsid w:val="001E7229"/>
    <w:rsid w:val="001E773F"/>
    <w:rsid w:val="001E7FA8"/>
    <w:rsid w:val="001F0553"/>
    <w:rsid w:val="001F297C"/>
    <w:rsid w:val="00202685"/>
    <w:rsid w:val="00202C06"/>
    <w:rsid w:val="002031BF"/>
    <w:rsid w:val="002054DD"/>
    <w:rsid w:val="00207117"/>
    <w:rsid w:val="00207ED8"/>
    <w:rsid w:val="0021142B"/>
    <w:rsid w:val="002128CA"/>
    <w:rsid w:val="00213D5B"/>
    <w:rsid w:val="00216D60"/>
    <w:rsid w:val="00226AA6"/>
    <w:rsid w:val="00227F41"/>
    <w:rsid w:val="0024127E"/>
    <w:rsid w:val="00242A87"/>
    <w:rsid w:val="002431A5"/>
    <w:rsid w:val="00246900"/>
    <w:rsid w:val="002477EF"/>
    <w:rsid w:val="00247ABE"/>
    <w:rsid w:val="00247BF7"/>
    <w:rsid w:val="00251886"/>
    <w:rsid w:val="00262877"/>
    <w:rsid w:val="002664C3"/>
    <w:rsid w:val="0026769B"/>
    <w:rsid w:val="00270E3A"/>
    <w:rsid w:val="00273ADC"/>
    <w:rsid w:val="002750BC"/>
    <w:rsid w:val="0027751E"/>
    <w:rsid w:val="00291005"/>
    <w:rsid w:val="00291D55"/>
    <w:rsid w:val="00295C71"/>
    <w:rsid w:val="002A0873"/>
    <w:rsid w:val="002B217E"/>
    <w:rsid w:val="002B2CC5"/>
    <w:rsid w:val="002C05BE"/>
    <w:rsid w:val="002C3C42"/>
    <w:rsid w:val="002D2B7E"/>
    <w:rsid w:val="002D2B86"/>
    <w:rsid w:val="002D36F6"/>
    <w:rsid w:val="002E0B93"/>
    <w:rsid w:val="002E58DE"/>
    <w:rsid w:val="002E60D1"/>
    <w:rsid w:val="002F0192"/>
    <w:rsid w:val="002F245F"/>
    <w:rsid w:val="002F2B77"/>
    <w:rsid w:val="002F44D5"/>
    <w:rsid w:val="002F4ED6"/>
    <w:rsid w:val="003000B8"/>
    <w:rsid w:val="003040C7"/>
    <w:rsid w:val="00310A8C"/>
    <w:rsid w:val="00310BFA"/>
    <w:rsid w:val="0031544D"/>
    <w:rsid w:val="00315CDF"/>
    <w:rsid w:val="00316BA6"/>
    <w:rsid w:val="0032320C"/>
    <w:rsid w:val="003236BE"/>
    <w:rsid w:val="003241AF"/>
    <w:rsid w:val="0032552E"/>
    <w:rsid w:val="00325606"/>
    <w:rsid w:val="00331F9C"/>
    <w:rsid w:val="00335F53"/>
    <w:rsid w:val="003369C1"/>
    <w:rsid w:val="00337923"/>
    <w:rsid w:val="003504FB"/>
    <w:rsid w:val="003505F9"/>
    <w:rsid w:val="0035258C"/>
    <w:rsid w:val="003557B1"/>
    <w:rsid w:val="00363160"/>
    <w:rsid w:val="00365121"/>
    <w:rsid w:val="00365CD0"/>
    <w:rsid w:val="003673F1"/>
    <w:rsid w:val="00367C76"/>
    <w:rsid w:val="0038043F"/>
    <w:rsid w:val="00386269"/>
    <w:rsid w:val="00387888"/>
    <w:rsid w:val="00397557"/>
    <w:rsid w:val="00397E05"/>
    <w:rsid w:val="003A22EB"/>
    <w:rsid w:val="003B084F"/>
    <w:rsid w:val="003B0FA9"/>
    <w:rsid w:val="003B52A1"/>
    <w:rsid w:val="003C05B8"/>
    <w:rsid w:val="003C1D30"/>
    <w:rsid w:val="003D03C2"/>
    <w:rsid w:val="003D7E16"/>
    <w:rsid w:val="003E3785"/>
    <w:rsid w:val="003E4257"/>
    <w:rsid w:val="003E7C1B"/>
    <w:rsid w:val="003F160C"/>
    <w:rsid w:val="003F332D"/>
    <w:rsid w:val="003F3ABD"/>
    <w:rsid w:val="003F5DF7"/>
    <w:rsid w:val="003F77F1"/>
    <w:rsid w:val="004030E1"/>
    <w:rsid w:val="00410DD9"/>
    <w:rsid w:val="00411820"/>
    <w:rsid w:val="00412487"/>
    <w:rsid w:val="00416A54"/>
    <w:rsid w:val="004203EC"/>
    <w:rsid w:val="00423D76"/>
    <w:rsid w:val="00430C49"/>
    <w:rsid w:val="004313CD"/>
    <w:rsid w:val="00432E66"/>
    <w:rsid w:val="00433852"/>
    <w:rsid w:val="00435914"/>
    <w:rsid w:val="004429E4"/>
    <w:rsid w:val="004476B1"/>
    <w:rsid w:val="004547FA"/>
    <w:rsid w:val="004551E1"/>
    <w:rsid w:val="00455DBD"/>
    <w:rsid w:val="00456669"/>
    <w:rsid w:val="00457CAB"/>
    <w:rsid w:val="004669D3"/>
    <w:rsid w:val="00470940"/>
    <w:rsid w:val="00474DCD"/>
    <w:rsid w:val="0047686A"/>
    <w:rsid w:val="00480D76"/>
    <w:rsid w:val="00482906"/>
    <w:rsid w:val="00482946"/>
    <w:rsid w:val="0048734D"/>
    <w:rsid w:val="004875C1"/>
    <w:rsid w:val="004919EB"/>
    <w:rsid w:val="00493B22"/>
    <w:rsid w:val="00495F90"/>
    <w:rsid w:val="004A56DC"/>
    <w:rsid w:val="004B29FA"/>
    <w:rsid w:val="004C507A"/>
    <w:rsid w:val="004C7B4C"/>
    <w:rsid w:val="004D1BAA"/>
    <w:rsid w:val="004D4272"/>
    <w:rsid w:val="004D476C"/>
    <w:rsid w:val="004D48F2"/>
    <w:rsid w:val="004D69BF"/>
    <w:rsid w:val="004E0915"/>
    <w:rsid w:val="004E2E1B"/>
    <w:rsid w:val="004E6281"/>
    <w:rsid w:val="004F0268"/>
    <w:rsid w:val="004F0A99"/>
    <w:rsid w:val="004F4DD8"/>
    <w:rsid w:val="004F6890"/>
    <w:rsid w:val="00506D8F"/>
    <w:rsid w:val="00520340"/>
    <w:rsid w:val="00520662"/>
    <w:rsid w:val="005233B9"/>
    <w:rsid w:val="00524627"/>
    <w:rsid w:val="00524DF6"/>
    <w:rsid w:val="0052669C"/>
    <w:rsid w:val="00527524"/>
    <w:rsid w:val="00531663"/>
    <w:rsid w:val="00531B81"/>
    <w:rsid w:val="00532CC1"/>
    <w:rsid w:val="0053398B"/>
    <w:rsid w:val="00536BD5"/>
    <w:rsid w:val="00537867"/>
    <w:rsid w:val="005422A1"/>
    <w:rsid w:val="0054261D"/>
    <w:rsid w:val="00550231"/>
    <w:rsid w:val="00554552"/>
    <w:rsid w:val="00561A53"/>
    <w:rsid w:val="00571157"/>
    <w:rsid w:val="00575E7D"/>
    <w:rsid w:val="005805A7"/>
    <w:rsid w:val="00580646"/>
    <w:rsid w:val="00583418"/>
    <w:rsid w:val="00586F0F"/>
    <w:rsid w:val="00587BD4"/>
    <w:rsid w:val="005920EB"/>
    <w:rsid w:val="00596176"/>
    <w:rsid w:val="005978AB"/>
    <w:rsid w:val="005A1DA5"/>
    <w:rsid w:val="005A6A0D"/>
    <w:rsid w:val="005B10EF"/>
    <w:rsid w:val="005C22E6"/>
    <w:rsid w:val="005C5D69"/>
    <w:rsid w:val="005D1BB9"/>
    <w:rsid w:val="005D4CF1"/>
    <w:rsid w:val="005E0334"/>
    <w:rsid w:val="005E320D"/>
    <w:rsid w:val="005E7CA4"/>
    <w:rsid w:val="005F5D54"/>
    <w:rsid w:val="005F7013"/>
    <w:rsid w:val="005F7EB5"/>
    <w:rsid w:val="00601856"/>
    <w:rsid w:val="00601BC8"/>
    <w:rsid w:val="00604124"/>
    <w:rsid w:val="006136A6"/>
    <w:rsid w:val="00616FDC"/>
    <w:rsid w:val="00621B68"/>
    <w:rsid w:val="00621B9A"/>
    <w:rsid w:val="006224A4"/>
    <w:rsid w:val="00623A04"/>
    <w:rsid w:val="00631C65"/>
    <w:rsid w:val="00633F2E"/>
    <w:rsid w:val="00635281"/>
    <w:rsid w:val="00640BE6"/>
    <w:rsid w:val="0064183D"/>
    <w:rsid w:val="00643F4C"/>
    <w:rsid w:val="006440D3"/>
    <w:rsid w:val="00653EA0"/>
    <w:rsid w:val="006574C5"/>
    <w:rsid w:val="00666284"/>
    <w:rsid w:val="00670F98"/>
    <w:rsid w:val="0068274C"/>
    <w:rsid w:val="0068740A"/>
    <w:rsid w:val="00693BA9"/>
    <w:rsid w:val="006A193D"/>
    <w:rsid w:val="006A1E1F"/>
    <w:rsid w:val="006A47FD"/>
    <w:rsid w:val="006A5890"/>
    <w:rsid w:val="006B363D"/>
    <w:rsid w:val="006B6999"/>
    <w:rsid w:val="006C7F56"/>
    <w:rsid w:val="006D21D6"/>
    <w:rsid w:val="006D258A"/>
    <w:rsid w:val="006E19A0"/>
    <w:rsid w:val="006E3D24"/>
    <w:rsid w:val="006E6E36"/>
    <w:rsid w:val="006E79B5"/>
    <w:rsid w:val="006F51EA"/>
    <w:rsid w:val="007009C4"/>
    <w:rsid w:val="00701254"/>
    <w:rsid w:val="0070154F"/>
    <w:rsid w:val="00707ECC"/>
    <w:rsid w:val="007204F8"/>
    <w:rsid w:val="007246C7"/>
    <w:rsid w:val="007349C7"/>
    <w:rsid w:val="007407EE"/>
    <w:rsid w:val="00747ADF"/>
    <w:rsid w:val="00760636"/>
    <w:rsid w:val="007619D8"/>
    <w:rsid w:val="007772C8"/>
    <w:rsid w:val="00777983"/>
    <w:rsid w:val="00782BF6"/>
    <w:rsid w:val="00795F07"/>
    <w:rsid w:val="00796C37"/>
    <w:rsid w:val="007A24E8"/>
    <w:rsid w:val="007A5FFC"/>
    <w:rsid w:val="007A609E"/>
    <w:rsid w:val="007A6BBA"/>
    <w:rsid w:val="007B1902"/>
    <w:rsid w:val="007B1E53"/>
    <w:rsid w:val="007B30E7"/>
    <w:rsid w:val="007D0CD6"/>
    <w:rsid w:val="007E2734"/>
    <w:rsid w:val="007E6518"/>
    <w:rsid w:val="007F77D1"/>
    <w:rsid w:val="00807AD9"/>
    <w:rsid w:val="0081405E"/>
    <w:rsid w:val="008308F0"/>
    <w:rsid w:val="00830B2E"/>
    <w:rsid w:val="00834C3C"/>
    <w:rsid w:val="00834EED"/>
    <w:rsid w:val="00843327"/>
    <w:rsid w:val="00843DD5"/>
    <w:rsid w:val="008473F4"/>
    <w:rsid w:val="00854278"/>
    <w:rsid w:val="00854513"/>
    <w:rsid w:val="00857490"/>
    <w:rsid w:val="008655C5"/>
    <w:rsid w:val="0087256B"/>
    <w:rsid w:val="00873B5D"/>
    <w:rsid w:val="00880C9D"/>
    <w:rsid w:val="00884FCB"/>
    <w:rsid w:val="00886547"/>
    <w:rsid w:val="00892E1D"/>
    <w:rsid w:val="008A1F53"/>
    <w:rsid w:val="008A2FC8"/>
    <w:rsid w:val="008A44C2"/>
    <w:rsid w:val="008A788F"/>
    <w:rsid w:val="008C4A37"/>
    <w:rsid w:val="008D088F"/>
    <w:rsid w:val="008E0424"/>
    <w:rsid w:val="008E09F5"/>
    <w:rsid w:val="008E0CF7"/>
    <w:rsid w:val="008F23AC"/>
    <w:rsid w:val="008F5DE8"/>
    <w:rsid w:val="008F61D4"/>
    <w:rsid w:val="009046F1"/>
    <w:rsid w:val="009061CB"/>
    <w:rsid w:val="009132B3"/>
    <w:rsid w:val="00916BD6"/>
    <w:rsid w:val="00925D2C"/>
    <w:rsid w:val="00926DDC"/>
    <w:rsid w:val="00926F54"/>
    <w:rsid w:val="00935FE0"/>
    <w:rsid w:val="00936B51"/>
    <w:rsid w:val="00936EF0"/>
    <w:rsid w:val="0094048B"/>
    <w:rsid w:val="00940A75"/>
    <w:rsid w:val="00944BCB"/>
    <w:rsid w:val="00947283"/>
    <w:rsid w:val="00953BB9"/>
    <w:rsid w:val="00954357"/>
    <w:rsid w:val="00960A11"/>
    <w:rsid w:val="00976668"/>
    <w:rsid w:val="00977835"/>
    <w:rsid w:val="009842AF"/>
    <w:rsid w:val="0098495D"/>
    <w:rsid w:val="0098673A"/>
    <w:rsid w:val="00992572"/>
    <w:rsid w:val="00994274"/>
    <w:rsid w:val="0099670F"/>
    <w:rsid w:val="009A002F"/>
    <w:rsid w:val="009B1368"/>
    <w:rsid w:val="009B39E9"/>
    <w:rsid w:val="009B6906"/>
    <w:rsid w:val="009C6FEB"/>
    <w:rsid w:val="009C70B4"/>
    <w:rsid w:val="009D12A5"/>
    <w:rsid w:val="009D5A78"/>
    <w:rsid w:val="009D6575"/>
    <w:rsid w:val="009F0195"/>
    <w:rsid w:val="009F0DB9"/>
    <w:rsid w:val="009F2E7B"/>
    <w:rsid w:val="009F3074"/>
    <w:rsid w:val="009F3648"/>
    <w:rsid w:val="009F599B"/>
    <w:rsid w:val="009F6072"/>
    <w:rsid w:val="00A02813"/>
    <w:rsid w:val="00A071E2"/>
    <w:rsid w:val="00A12FB9"/>
    <w:rsid w:val="00A15B45"/>
    <w:rsid w:val="00A174AE"/>
    <w:rsid w:val="00A22F81"/>
    <w:rsid w:val="00A23598"/>
    <w:rsid w:val="00A254A6"/>
    <w:rsid w:val="00A25E87"/>
    <w:rsid w:val="00A27299"/>
    <w:rsid w:val="00A27D69"/>
    <w:rsid w:val="00A27D96"/>
    <w:rsid w:val="00A32739"/>
    <w:rsid w:val="00A32EA8"/>
    <w:rsid w:val="00A330B3"/>
    <w:rsid w:val="00A425DB"/>
    <w:rsid w:val="00A4307C"/>
    <w:rsid w:val="00A50F97"/>
    <w:rsid w:val="00A53559"/>
    <w:rsid w:val="00A55637"/>
    <w:rsid w:val="00A56959"/>
    <w:rsid w:val="00A6021D"/>
    <w:rsid w:val="00A60B71"/>
    <w:rsid w:val="00A60E90"/>
    <w:rsid w:val="00A6308B"/>
    <w:rsid w:val="00A643D9"/>
    <w:rsid w:val="00A769CD"/>
    <w:rsid w:val="00A91080"/>
    <w:rsid w:val="00A916E2"/>
    <w:rsid w:val="00A95909"/>
    <w:rsid w:val="00A975B9"/>
    <w:rsid w:val="00AA19EE"/>
    <w:rsid w:val="00AA4B79"/>
    <w:rsid w:val="00AB1BF4"/>
    <w:rsid w:val="00AB2F72"/>
    <w:rsid w:val="00AB3E02"/>
    <w:rsid w:val="00AB4832"/>
    <w:rsid w:val="00AC2E19"/>
    <w:rsid w:val="00AC349C"/>
    <w:rsid w:val="00AD1205"/>
    <w:rsid w:val="00AD31D9"/>
    <w:rsid w:val="00AD59D2"/>
    <w:rsid w:val="00AD6110"/>
    <w:rsid w:val="00AD76D0"/>
    <w:rsid w:val="00AD77E2"/>
    <w:rsid w:val="00AD7C5D"/>
    <w:rsid w:val="00AE16C0"/>
    <w:rsid w:val="00AE715E"/>
    <w:rsid w:val="00AF23F0"/>
    <w:rsid w:val="00AF3B74"/>
    <w:rsid w:val="00B013B6"/>
    <w:rsid w:val="00B02F06"/>
    <w:rsid w:val="00B05360"/>
    <w:rsid w:val="00B111D1"/>
    <w:rsid w:val="00B204DD"/>
    <w:rsid w:val="00B21688"/>
    <w:rsid w:val="00B22B34"/>
    <w:rsid w:val="00B248A6"/>
    <w:rsid w:val="00B3072A"/>
    <w:rsid w:val="00B33340"/>
    <w:rsid w:val="00B33580"/>
    <w:rsid w:val="00B33E8D"/>
    <w:rsid w:val="00B37AB3"/>
    <w:rsid w:val="00B418C8"/>
    <w:rsid w:val="00B55D62"/>
    <w:rsid w:val="00B5727C"/>
    <w:rsid w:val="00B642F5"/>
    <w:rsid w:val="00B66B2F"/>
    <w:rsid w:val="00B67351"/>
    <w:rsid w:val="00B7007B"/>
    <w:rsid w:val="00B7402F"/>
    <w:rsid w:val="00B83371"/>
    <w:rsid w:val="00B86954"/>
    <w:rsid w:val="00BA6A3E"/>
    <w:rsid w:val="00BA74A6"/>
    <w:rsid w:val="00BB263B"/>
    <w:rsid w:val="00BC3700"/>
    <w:rsid w:val="00BC7206"/>
    <w:rsid w:val="00BD13AC"/>
    <w:rsid w:val="00BD2AAC"/>
    <w:rsid w:val="00BE0E2D"/>
    <w:rsid w:val="00BE17C2"/>
    <w:rsid w:val="00BE1A90"/>
    <w:rsid w:val="00BF0A3E"/>
    <w:rsid w:val="00BF2D7A"/>
    <w:rsid w:val="00BF3733"/>
    <w:rsid w:val="00BF3FF7"/>
    <w:rsid w:val="00C17AB6"/>
    <w:rsid w:val="00C215E8"/>
    <w:rsid w:val="00C21707"/>
    <w:rsid w:val="00C25964"/>
    <w:rsid w:val="00C309D1"/>
    <w:rsid w:val="00C310F1"/>
    <w:rsid w:val="00C3126D"/>
    <w:rsid w:val="00C41D5D"/>
    <w:rsid w:val="00C43B9E"/>
    <w:rsid w:val="00C46F9D"/>
    <w:rsid w:val="00C55439"/>
    <w:rsid w:val="00C56747"/>
    <w:rsid w:val="00C73916"/>
    <w:rsid w:val="00C740E7"/>
    <w:rsid w:val="00C74430"/>
    <w:rsid w:val="00C7598C"/>
    <w:rsid w:val="00C80D16"/>
    <w:rsid w:val="00C86C3F"/>
    <w:rsid w:val="00C96EE8"/>
    <w:rsid w:val="00CA6A3A"/>
    <w:rsid w:val="00CB02F0"/>
    <w:rsid w:val="00CB4605"/>
    <w:rsid w:val="00CB6C31"/>
    <w:rsid w:val="00CB75BC"/>
    <w:rsid w:val="00CB7D9E"/>
    <w:rsid w:val="00CC2D18"/>
    <w:rsid w:val="00CC313E"/>
    <w:rsid w:val="00CC42C7"/>
    <w:rsid w:val="00CC68C9"/>
    <w:rsid w:val="00CD1F03"/>
    <w:rsid w:val="00CD5A37"/>
    <w:rsid w:val="00CE0EBE"/>
    <w:rsid w:val="00CE10C6"/>
    <w:rsid w:val="00CE146E"/>
    <w:rsid w:val="00CE1E1A"/>
    <w:rsid w:val="00CE32BC"/>
    <w:rsid w:val="00CF06E7"/>
    <w:rsid w:val="00CF1BE0"/>
    <w:rsid w:val="00CF34E8"/>
    <w:rsid w:val="00CF747B"/>
    <w:rsid w:val="00D00342"/>
    <w:rsid w:val="00D153ED"/>
    <w:rsid w:val="00D157DB"/>
    <w:rsid w:val="00D1779F"/>
    <w:rsid w:val="00D2488B"/>
    <w:rsid w:val="00D25019"/>
    <w:rsid w:val="00D26B6D"/>
    <w:rsid w:val="00D30848"/>
    <w:rsid w:val="00D35744"/>
    <w:rsid w:val="00D4169D"/>
    <w:rsid w:val="00D42374"/>
    <w:rsid w:val="00D42811"/>
    <w:rsid w:val="00D432C5"/>
    <w:rsid w:val="00D46DE7"/>
    <w:rsid w:val="00D5154C"/>
    <w:rsid w:val="00D51594"/>
    <w:rsid w:val="00D5663D"/>
    <w:rsid w:val="00D6049F"/>
    <w:rsid w:val="00D70892"/>
    <w:rsid w:val="00D74FB8"/>
    <w:rsid w:val="00D75A5E"/>
    <w:rsid w:val="00D810DD"/>
    <w:rsid w:val="00D826E8"/>
    <w:rsid w:val="00D83FAB"/>
    <w:rsid w:val="00D87E13"/>
    <w:rsid w:val="00D90897"/>
    <w:rsid w:val="00D935BA"/>
    <w:rsid w:val="00D93FC9"/>
    <w:rsid w:val="00D953E2"/>
    <w:rsid w:val="00D967EC"/>
    <w:rsid w:val="00D97FC0"/>
    <w:rsid w:val="00DA22BD"/>
    <w:rsid w:val="00DA4638"/>
    <w:rsid w:val="00DB28A9"/>
    <w:rsid w:val="00DB5D27"/>
    <w:rsid w:val="00DB6129"/>
    <w:rsid w:val="00DC1559"/>
    <w:rsid w:val="00DC4B2F"/>
    <w:rsid w:val="00DD0129"/>
    <w:rsid w:val="00DD3252"/>
    <w:rsid w:val="00DE0A93"/>
    <w:rsid w:val="00DF15FB"/>
    <w:rsid w:val="00DF3630"/>
    <w:rsid w:val="00DF7864"/>
    <w:rsid w:val="00DF7ACA"/>
    <w:rsid w:val="00E04F6E"/>
    <w:rsid w:val="00E100A3"/>
    <w:rsid w:val="00E10DB0"/>
    <w:rsid w:val="00E12B0A"/>
    <w:rsid w:val="00E16674"/>
    <w:rsid w:val="00E2569B"/>
    <w:rsid w:val="00E2732F"/>
    <w:rsid w:val="00E36C19"/>
    <w:rsid w:val="00E37DB9"/>
    <w:rsid w:val="00E420E0"/>
    <w:rsid w:val="00E456BD"/>
    <w:rsid w:val="00E5212D"/>
    <w:rsid w:val="00E532D8"/>
    <w:rsid w:val="00E55ABF"/>
    <w:rsid w:val="00E6081E"/>
    <w:rsid w:val="00E614F8"/>
    <w:rsid w:val="00E62088"/>
    <w:rsid w:val="00E66245"/>
    <w:rsid w:val="00E66F15"/>
    <w:rsid w:val="00E6705A"/>
    <w:rsid w:val="00E6787D"/>
    <w:rsid w:val="00E82EBA"/>
    <w:rsid w:val="00E85FFA"/>
    <w:rsid w:val="00E910F7"/>
    <w:rsid w:val="00E93BC3"/>
    <w:rsid w:val="00E97687"/>
    <w:rsid w:val="00EA02C4"/>
    <w:rsid w:val="00EA08F2"/>
    <w:rsid w:val="00EA51EB"/>
    <w:rsid w:val="00EA6967"/>
    <w:rsid w:val="00EA6F2E"/>
    <w:rsid w:val="00EB2226"/>
    <w:rsid w:val="00EC3790"/>
    <w:rsid w:val="00EC5954"/>
    <w:rsid w:val="00EC6C96"/>
    <w:rsid w:val="00EC6EB5"/>
    <w:rsid w:val="00ED23DF"/>
    <w:rsid w:val="00ED58EA"/>
    <w:rsid w:val="00ED765D"/>
    <w:rsid w:val="00EE44A2"/>
    <w:rsid w:val="00EE63CC"/>
    <w:rsid w:val="00F0295C"/>
    <w:rsid w:val="00F07D19"/>
    <w:rsid w:val="00F233F4"/>
    <w:rsid w:val="00F249FF"/>
    <w:rsid w:val="00F275F5"/>
    <w:rsid w:val="00F306DE"/>
    <w:rsid w:val="00F31CAA"/>
    <w:rsid w:val="00F324E0"/>
    <w:rsid w:val="00F32A45"/>
    <w:rsid w:val="00F360DF"/>
    <w:rsid w:val="00F36377"/>
    <w:rsid w:val="00F37441"/>
    <w:rsid w:val="00F375E9"/>
    <w:rsid w:val="00F51486"/>
    <w:rsid w:val="00F55EDA"/>
    <w:rsid w:val="00F57E95"/>
    <w:rsid w:val="00F6037B"/>
    <w:rsid w:val="00F6241D"/>
    <w:rsid w:val="00F624C4"/>
    <w:rsid w:val="00F6675A"/>
    <w:rsid w:val="00F722FA"/>
    <w:rsid w:val="00F73DFF"/>
    <w:rsid w:val="00F76A61"/>
    <w:rsid w:val="00F775E9"/>
    <w:rsid w:val="00F77BBF"/>
    <w:rsid w:val="00F847FD"/>
    <w:rsid w:val="00F90148"/>
    <w:rsid w:val="00F943F7"/>
    <w:rsid w:val="00FA6E5F"/>
    <w:rsid w:val="00FB3EC6"/>
    <w:rsid w:val="00FC0697"/>
    <w:rsid w:val="00FC083A"/>
    <w:rsid w:val="00FC59F7"/>
    <w:rsid w:val="00FD0914"/>
    <w:rsid w:val="00FD1236"/>
    <w:rsid w:val="00FD1F51"/>
    <w:rsid w:val="00FD5A94"/>
    <w:rsid w:val="00FD60B0"/>
    <w:rsid w:val="00FD6688"/>
    <w:rsid w:val="00FD7EA1"/>
    <w:rsid w:val="00FE2265"/>
    <w:rsid w:val="00FF5D4C"/>
    <w:rsid w:val="00FF63F8"/>
    <w:rsid w:val="076F1030"/>
    <w:rsid w:val="19FBFD1D"/>
    <w:rsid w:val="2253C721"/>
    <w:rsid w:val="2D5697AD"/>
    <w:rsid w:val="2FA7D7A8"/>
    <w:rsid w:val="33B6DE99"/>
    <w:rsid w:val="34115BE5"/>
    <w:rsid w:val="47785DFE"/>
    <w:rsid w:val="4D37B1C7"/>
    <w:rsid w:val="58057F7A"/>
    <w:rsid w:val="6219DB76"/>
    <w:rsid w:val="72766A7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683F1"/>
  <w15:docId w15:val="{F9A70D6B-B780-476A-8C07-067B5422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Cs w:val="22"/>
        <w:lang w:val="fr-F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qFormat="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CD1"/>
    <w:pPr>
      <w:spacing w:line="276" w:lineRule="auto"/>
      <w:jc w:val="both"/>
    </w:pPr>
    <w:rPr>
      <w:rFonts w:ascii="Times New Roman" w:hAnsi="Times New Roman"/>
      <w:sz w:val="22"/>
    </w:rPr>
  </w:style>
  <w:style w:type="paragraph" w:styleId="Titre1">
    <w:name w:val="heading 1"/>
    <w:basedOn w:val="Titre"/>
    <w:next w:val="Corpsdetexte"/>
    <w:link w:val="Titre1Car"/>
    <w:autoRedefine/>
    <w:uiPriority w:val="9"/>
    <w:qFormat/>
    <w:rsid w:val="005B10EF"/>
    <w:pPr>
      <w:jc w:val="center"/>
      <w:outlineLvl w:val="0"/>
    </w:pPr>
    <w:rPr>
      <w:b/>
      <w:color w:val="FF0000"/>
      <w:sz w:val="36"/>
      <w:szCs w:val="36"/>
      <w:u w:val="thick"/>
    </w:rPr>
  </w:style>
  <w:style w:type="paragraph" w:styleId="Titre2">
    <w:name w:val="heading 2"/>
    <w:basedOn w:val="Titre"/>
    <w:next w:val="Corpsdetexte"/>
    <w:link w:val="Titre2Car"/>
    <w:autoRedefine/>
    <w:uiPriority w:val="9"/>
    <w:qFormat/>
    <w:rsid w:val="000024C8"/>
    <w:pPr>
      <w:spacing w:before="0" w:after="115"/>
      <w:jc w:val="left"/>
      <w:outlineLvl w:val="1"/>
    </w:pPr>
    <w:rPr>
      <w:rFonts w:cstheme="minorHAnsi"/>
      <w:b/>
      <w:bCs/>
      <w:color w:val="2A6099"/>
      <w:sz w:val="30"/>
      <w:szCs w:val="36"/>
      <w:u w:val="single"/>
    </w:rPr>
  </w:style>
  <w:style w:type="paragraph" w:styleId="Titre3">
    <w:name w:val="heading 3"/>
    <w:basedOn w:val="Normal"/>
    <w:next w:val="Normal"/>
    <w:autoRedefine/>
    <w:qFormat/>
    <w:pPr>
      <w:keepNext/>
      <w:keepLines/>
      <w:widowControl w:val="0"/>
      <w:spacing w:before="397"/>
      <w:outlineLvl w:val="2"/>
    </w:pPr>
    <w:rPr>
      <w:b/>
      <w:color w:val="1F4D78"/>
      <w:sz w:val="26"/>
      <w:szCs w:val="24"/>
    </w:rPr>
  </w:style>
  <w:style w:type="paragraph" w:styleId="Titre4">
    <w:name w:val="heading 4"/>
    <w:basedOn w:val="Titre"/>
    <w:next w:val="Corpsdetexte"/>
    <w:qFormat/>
    <w:pPr>
      <w:numPr>
        <w:ilvl w:val="3"/>
        <w:numId w:val="1"/>
      </w:numPr>
      <w:spacing w:before="120"/>
      <w:outlineLvl w:val="3"/>
    </w:pPr>
    <w:rPr>
      <w:b/>
      <w:bCs/>
      <w:i/>
      <w:iCs/>
      <w:sz w:val="27"/>
      <w:szCs w:val="27"/>
    </w:rPr>
  </w:style>
  <w:style w:type="paragraph" w:styleId="Titre8">
    <w:name w:val="heading 8"/>
    <w:basedOn w:val="Normal"/>
    <w:next w:val="Normal"/>
    <w:qFormat/>
    <w:pPr>
      <w:keepNext/>
      <w:keepLines/>
      <w:widowControl w:val="0"/>
      <w:spacing w:before="40" w:line="240" w:lineRule="auto"/>
      <w:outlineLvl w:val="7"/>
    </w:pPr>
    <w:rPr>
      <w:rFonts w:ascii="Calibri Light" w:hAnsi="Calibri Light"/>
      <w:color w:val="272727"/>
      <w:sz w:val="21"/>
      <w:szCs w:val="21"/>
      <w:lang w:eastAsia="fr-FR" w:bidi="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Corpsdetexte"/>
    <w:qFormat/>
    <w:pPr>
      <w:keepNext/>
      <w:spacing w:before="240" w:after="120"/>
    </w:pPr>
    <w:rPr>
      <w:rFonts w:eastAsia="Arial Unicode MS" w:cs="Lucida Sans"/>
      <w:sz w:val="28"/>
      <w:szCs w:val="28"/>
    </w:rPr>
  </w:style>
  <w:style w:type="paragraph" w:styleId="Corpsdetexte">
    <w:name w:val="Body Text"/>
    <w:basedOn w:val="Normal"/>
    <w:pPr>
      <w:spacing w:before="113" w:line="240" w:lineRule="auto"/>
      <w:ind w:firstLine="454"/>
    </w:pPr>
    <w:rPr>
      <w:rFonts w:eastAsia="Times New Roman" w:cs="Times New Roman"/>
      <w:sz w:val="24"/>
      <w:szCs w:val="20"/>
      <w:lang w:eastAsia="fr-FR"/>
    </w:rPr>
  </w:style>
  <w:style w:type="character" w:customStyle="1" w:styleId="Titre1Car">
    <w:name w:val="Titre 1 Car"/>
    <w:basedOn w:val="Policepardfaut"/>
    <w:link w:val="Titre1"/>
    <w:uiPriority w:val="9"/>
    <w:qFormat/>
    <w:rsid w:val="005B10EF"/>
    <w:rPr>
      <w:rFonts w:ascii="Times New Roman" w:eastAsia="Arial Unicode MS" w:hAnsi="Times New Roman" w:cs="Lucida Sans"/>
      <w:b/>
      <w:color w:val="FF0000"/>
      <w:sz w:val="36"/>
      <w:szCs w:val="36"/>
      <w:u w:val="thick"/>
    </w:rPr>
  </w:style>
  <w:style w:type="character" w:customStyle="1" w:styleId="Titre2Car">
    <w:name w:val="Titre 2 Car"/>
    <w:basedOn w:val="Policepardfaut"/>
    <w:link w:val="Titre2"/>
    <w:uiPriority w:val="9"/>
    <w:qFormat/>
    <w:rsid w:val="000024C8"/>
    <w:rPr>
      <w:rFonts w:ascii="Times New Roman" w:eastAsia="Arial Unicode MS" w:hAnsi="Times New Roman" w:cstheme="minorHAnsi"/>
      <w:b/>
      <w:bCs/>
      <w:color w:val="2A6099"/>
      <w:sz w:val="30"/>
      <w:szCs w:val="36"/>
      <w:u w:val="single"/>
    </w:rPr>
  </w:style>
  <w:style w:type="character" w:customStyle="1" w:styleId="LienInternet">
    <w:name w:val="Lien Internet"/>
    <w:basedOn w:val="Policepardfaut"/>
    <w:uiPriority w:val="99"/>
    <w:rPr>
      <w:color w:val="0563C1"/>
      <w:u w:val="single"/>
    </w:rPr>
  </w:style>
  <w:style w:type="character" w:customStyle="1" w:styleId="CorpsdetexteCar">
    <w:name w:val="Corps de texte Car"/>
    <w:basedOn w:val="Policepardfaut"/>
    <w:qFormat/>
    <w:rPr>
      <w:rFonts w:ascii="Arial" w:eastAsia="Times New Roman" w:hAnsi="Arial" w:cs="Times New Roman"/>
      <w:sz w:val="20"/>
      <w:szCs w:val="20"/>
      <w:lang w:eastAsia="fr-FR"/>
    </w:rPr>
  </w:style>
  <w:style w:type="character" w:customStyle="1" w:styleId="PieddepageCar">
    <w:name w:val="Pied de page Car"/>
    <w:basedOn w:val="Policepardfaut"/>
    <w:uiPriority w:val="99"/>
    <w:qFormat/>
  </w:style>
  <w:style w:type="character" w:customStyle="1" w:styleId="CommentaireCar">
    <w:name w:val="Commentaire Car"/>
    <w:basedOn w:val="Policepardfaut"/>
    <w:qFormat/>
    <w:rPr>
      <w:sz w:val="20"/>
      <w:szCs w:val="20"/>
    </w:rPr>
  </w:style>
  <w:style w:type="character" w:styleId="Marquedecommentaire">
    <w:name w:val="annotation reference"/>
    <w:basedOn w:val="Policepardfaut"/>
    <w:qFormat/>
    <w:rPr>
      <w:sz w:val="16"/>
      <w:szCs w:val="16"/>
    </w:rPr>
  </w:style>
  <w:style w:type="character" w:customStyle="1" w:styleId="ObjetducommentaireCar">
    <w:name w:val="Objet du commentaire Car"/>
    <w:basedOn w:val="CommentaireCar"/>
    <w:uiPriority w:val="99"/>
    <w:qFormat/>
    <w:rPr>
      <w:b/>
      <w:bCs/>
      <w:sz w:val="20"/>
      <w:szCs w:val="20"/>
    </w:rPr>
  </w:style>
  <w:style w:type="character" w:customStyle="1" w:styleId="TextedebullesCar">
    <w:name w:val="Texte de bulles Car"/>
    <w:basedOn w:val="Policepardfaut"/>
    <w:uiPriority w:val="99"/>
    <w:qFormat/>
    <w:rPr>
      <w:rFonts w:ascii="Segoe UI" w:hAnsi="Segoe UI" w:cs="Segoe UI"/>
      <w:sz w:val="18"/>
      <w:szCs w:val="18"/>
    </w:rPr>
  </w:style>
  <w:style w:type="character" w:customStyle="1" w:styleId="NotedebasdepageCar">
    <w:name w:val="Note de bas de page Car"/>
    <w:basedOn w:val="Policepardfaut"/>
    <w:uiPriority w:val="99"/>
    <w:qFormat/>
    <w:rPr>
      <w:rFonts w:ascii="Times New Roman" w:eastAsia="Times New Roman" w:hAnsi="Times New Roman" w:cs="Times New Roman"/>
      <w:sz w:val="20"/>
      <w:szCs w:val="20"/>
      <w:lang w:eastAsia="fr-FR"/>
    </w:rPr>
  </w:style>
  <w:style w:type="character" w:customStyle="1" w:styleId="Ancredenotedebasdepage">
    <w:name w:val="Ancre de note de bas de page"/>
    <w:rPr>
      <w:vertAlign w:val="superscript"/>
    </w:rPr>
  </w:style>
  <w:style w:type="character" w:customStyle="1" w:styleId="FootnoteCharacters">
    <w:name w:val="Footnote Characters"/>
    <w:basedOn w:val="Policepardfaut"/>
    <w:uiPriority w:val="99"/>
    <w:qFormat/>
    <w:rPr>
      <w:vertAlign w:val="superscript"/>
    </w:rPr>
  </w:style>
  <w:style w:type="character" w:styleId="lev">
    <w:name w:val="Strong"/>
    <w:basedOn w:val="Policepardfaut"/>
    <w:uiPriority w:val="22"/>
    <w:qFormat/>
    <w:rPr>
      <w:b/>
      <w:bCs/>
    </w:rPr>
  </w:style>
  <w:style w:type="character" w:styleId="Accentuation">
    <w:name w:val="Emphasis"/>
    <w:basedOn w:val="Policepardfaut"/>
    <w:uiPriority w:val="20"/>
    <w:qFormat/>
    <w:rPr>
      <w:i/>
      <w:iCs/>
    </w:rPr>
  </w:style>
  <w:style w:type="character" w:customStyle="1" w:styleId="familyname">
    <w:name w:val="familyname"/>
    <w:basedOn w:val="Policepardfaut"/>
    <w:qFormat/>
  </w:style>
  <w:style w:type="character" w:styleId="Textedelespacerserv">
    <w:name w:val="Placeholder Text"/>
    <w:basedOn w:val="Policepardfaut"/>
    <w:qFormat/>
    <w:rPr>
      <w:color w:val="808080"/>
    </w:rPr>
  </w:style>
  <w:style w:type="character" w:customStyle="1" w:styleId="Titre8Car">
    <w:name w:val="Titre 8 Car"/>
    <w:basedOn w:val="Policepardfaut"/>
    <w:qFormat/>
    <w:rPr>
      <w:rFonts w:ascii="Calibri Light" w:eastAsia="Calibri" w:hAnsi="Calibri Light" w:cs="Tahoma"/>
      <w:color w:val="272727"/>
      <w:sz w:val="21"/>
      <w:szCs w:val="21"/>
      <w:lang w:eastAsia="fr-FR" w:bidi="fr-FR"/>
    </w:rPr>
  </w:style>
  <w:style w:type="character" w:customStyle="1" w:styleId="textenormal">
    <w:name w:val="textenormal"/>
    <w:basedOn w:val="Policepardfaut"/>
    <w:qFormat/>
  </w:style>
  <w:style w:type="character" w:customStyle="1" w:styleId="citation">
    <w:name w:val="citation"/>
    <w:basedOn w:val="Policepardfaut"/>
    <w:qFormat/>
  </w:style>
  <w:style w:type="character" w:customStyle="1" w:styleId="uppercase">
    <w:name w:val="uppercase"/>
    <w:basedOn w:val="Policepardfaut"/>
    <w:qFormat/>
  </w:style>
  <w:style w:type="character" w:customStyle="1" w:styleId="Caractresdenotedebasdepage">
    <w:name w:val="Caractères de note de bas de page"/>
    <w:qFormat/>
  </w:style>
  <w:style w:type="character" w:customStyle="1" w:styleId="Ancredenotedefin">
    <w:name w:val="Ancre de note de fin"/>
    <w:rPr>
      <w:vertAlign w:val="superscript"/>
    </w:rPr>
  </w:style>
  <w:style w:type="character" w:customStyle="1" w:styleId="Caractresdenotedefin">
    <w:name w:val="Caractères de note de fin"/>
    <w:qFormat/>
  </w:style>
  <w:style w:type="character" w:customStyle="1" w:styleId="Caractresdenumrotation">
    <w:name w:val="Caractères de numérotation"/>
    <w:qFormat/>
  </w:style>
  <w:style w:type="character" w:customStyle="1" w:styleId="Puces">
    <w:name w:val="Puces"/>
    <w:qFormat/>
    <w:rPr>
      <w:rFonts w:ascii="OpenSymbol" w:eastAsia="OpenSymbol" w:hAnsi="OpenSymbol" w:cs="OpenSymbol"/>
    </w:rPr>
  </w:style>
  <w:style w:type="character" w:customStyle="1" w:styleId="footnotedescriptionChar">
    <w:name w:val="footnote description Char"/>
    <w:qFormat/>
    <w:rPr>
      <w:rFonts w:ascii="Calibri" w:eastAsia="Calibri" w:hAnsi="Calibri" w:cs="Calibri"/>
      <w:color w:val="0563C1"/>
      <w:u w:val="single" w:color="0563C1"/>
      <w:lang w:eastAsia="fr-FR"/>
    </w:rPr>
  </w:style>
  <w:style w:type="character" w:customStyle="1" w:styleId="footnotemark">
    <w:name w:val="footnote mark"/>
    <w:qFormat/>
    <w:rPr>
      <w:rFonts w:ascii="Calibri" w:eastAsia="Calibri" w:hAnsi="Calibri" w:cs="Calibri"/>
      <w:color w:val="000000"/>
      <w:sz w:val="20"/>
      <w:vertAlign w:val="superscript"/>
    </w:rPr>
  </w:style>
  <w:style w:type="character" w:customStyle="1" w:styleId="Titre3Car">
    <w:name w:val="Titre 3 Car"/>
    <w:basedOn w:val="Policepardfaut"/>
    <w:qFormat/>
    <w:rPr>
      <w:rFonts w:ascii="Calibri Light" w:eastAsia="Calibri" w:hAnsi="Calibri Light" w:cs="Tahoma"/>
      <w:color w:val="1F4D78"/>
      <w:sz w:val="24"/>
      <w:szCs w:val="24"/>
    </w:rPr>
  </w:style>
  <w:style w:type="character" w:customStyle="1" w:styleId="En-tteCar">
    <w:name w:val="En-tête Car"/>
    <w:basedOn w:val="Policepardfaut"/>
    <w:uiPriority w:val="99"/>
    <w:qFormat/>
    <w:rPr>
      <w:sz w:val="22"/>
    </w:rPr>
  </w:style>
  <w:style w:type="character" w:customStyle="1" w:styleId="Sous-titreCar">
    <w:name w:val="Sous-titre Car"/>
    <w:basedOn w:val="Policepardfaut"/>
    <w:qFormat/>
    <w:rPr>
      <w:rFonts w:eastAsia="Calibri"/>
      <w:color w:val="5A5A5A"/>
      <w:spacing w:val="15"/>
      <w:sz w:val="22"/>
    </w:rPr>
  </w:style>
  <w:style w:type="character" w:customStyle="1" w:styleId="auteur">
    <w:name w:val="auteur"/>
    <w:basedOn w:val="Policepardfaut"/>
    <w:qFormat/>
  </w:style>
  <w:style w:type="character" w:customStyle="1" w:styleId="caps">
    <w:name w:val="caps"/>
    <w:basedOn w:val="Policepardfaut"/>
    <w:qFormat/>
  </w:style>
  <w:style w:type="character" w:customStyle="1" w:styleId="details">
    <w:name w:val="details"/>
    <w:basedOn w:val="Policepardfaut"/>
    <w:qFormat/>
  </w:style>
  <w:style w:type="character" w:customStyle="1" w:styleId="citation-reference">
    <w:name w:val="citation-reference"/>
    <w:basedOn w:val="Policepardfaut"/>
    <w:qFormat/>
  </w:style>
  <w:style w:type="character" w:customStyle="1" w:styleId="authors-reference">
    <w:name w:val="authors-reference"/>
    <w:basedOn w:val="Policepardfaut"/>
    <w:qFormat/>
  </w:style>
  <w:style w:type="character" w:customStyle="1" w:styleId="title-reference">
    <w:name w:val="title-reference"/>
    <w:basedOn w:val="Policepardfaut"/>
    <w:qFormat/>
  </w:style>
  <w:style w:type="character" w:customStyle="1" w:styleId="titleevent-reference">
    <w:name w:val="titleevent-reference"/>
    <w:basedOn w:val="Policepardfaut"/>
    <w:qFormat/>
  </w:style>
  <w:style w:type="character" w:customStyle="1" w:styleId="titleevent-reference-value">
    <w:name w:val="titleevent-reference-value"/>
    <w:basedOn w:val="Policepardfaut"/>
    <w:qFormat/>
  </w:style>
  <w:style w:type="character" w:customStyle="1" w:styleId="pages-reference">
    <w:name w:val="pages-reference"/>
    <w:basedOn w:val="Policepardfaut"/>
    <w:qFormat/>
  </w:style>
  <w:style w:type="character" w:customStyle="1" w:styleId="pages-reference-value">
    <w:name w:val="pages-reference-value"/>
    <w:basedOn w:val="Policepardfaut"/>
    <w:qFormat/>
  </w:style>
  <w:style w:type="character" w:customStyle="1" w:styleId="date-reference">
    <w:name w:val="date-reference"/>
    <w:basedOn w:val="Policepardfaut"/>
    <w:qFormat/>
  </w:style>
  <w:style w:type="character" w:customStyle="1" w:styleId="date-reference-value">
    <w:name w:val="date-reference-value"/>
    <w:basedOn w:val="Policepardfaut"/>
    <w:qFormat/>
  </w:style>
  <w:style w:type="character" w:customStyle="1" w:styleId="Sautdindex">
    <w:name w:val="Saut d'index"/>
    <w:qFormat/>
  </w:style>
  <w:style w:type="character" w:customStyle="1" w:styleId="LienInternetvisit">
    <w:name w:val="Lien Internet visité"/>
    <w:uiPriority w:val="99"/>
    <w:rPr>
      <w:color w:val="800000"/>
      <w:u w:val="single"/>
    </w:rPr>
  </w:style>
  <w:style w:type="character" w:customStyle="1" w:styleId="Accentuationforte">
    <w:name w:val="Accentuation forte"/>
    <w:qFormat/>
    <w:rPr>
      <w:b/>
      <w:bCs/>
    </w:rPr>
  </w:style>
  <w:style w:type="paragraph" w:styleId="Liste">
    <w:name w:val="List"/>
    <w:basedOn w:val="Corpsdetexte"/>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Paragraphedeliste">
    <w:name w:val="List Paragraph"/>
    <w:basedOn w:val="Normal"/>
    <w:autoRedefine/>
    <w:uiPriority w:val="34"/>
    <w:qFormat/>
    <w:rsid w:val="00F77BBF"/>
    <w:pPr>
      <w:numPr>
        <w:numId w:val="7"/>
      </w:numPr>
      <w:suppressAutoHyphens w:val="0"/>
      <w:spacing w:after="120"/>
      <w:ind w:left="714" w:hanging="357"/>
    </w:pPr>
  </w:style>
  <w:style w:type="paragraph" w:customStyle="1" w:styleId="En-tteetpieddepage">
    <w:name w:val="En-tête et pied de page"/>
    <w:basedOn w:val="Normal"/>
    <w:qFormat/>
  </w:style>
  <w:style w:type="paragraph" w:styleId="Pieddepage">
    <w:name w:val="footer"/>
    <w:basedOn w:val="Normal"/>
    <w:uiPriority w:val="99"/>
    <w:pPr>
      <w:tabs>
        <w:tab w:val="center" w:pos="4536"/>
        <w:tab w:val="right" w:pos="9072"/>
      </w:tabs>
      <w:spacing w:line="240" w:lineRule="auto"/>
    </w:pPr>
  </w:style>
  <w:style w:type="paragraph" w:styleId="Commentaire">
    <w:name w:val="annotation text"/>
    <w:basedOn w:val="Normal"/>
    <w:qFormat/>
    <w:pPr>
      <w:spacing w:line="240" w:lineRule="auto"/>
    </w:pPr>
    <w:rPr>
      <w:sz w:val="20"/>
      <w:szCs w:val="20"/>
    </w:rPr>
  </w:style>
  <w:style w:type="paragraph" w:styleId="Objetducommentaire">
    <w:name w:val="annotation subject"/>
    <w:basedOn w:val="Commentaire"/>
    <w:next w:val="Commentaire"/>
    <w:uiPriority w:val="99"/>
    <w:qFormat/>
    <w:rPr>
      <w:b/>
      <w:bCs/>
    </w:rPr>
  </w:style>
  <w:style w:type="paragraph" w:styleId="Textedebulles">
    <w:name w:val="Balloon Text"/>
    <w:basedOn w:val="Normal"/>
    <w:uiPriority w:val="99"/>
    <w:qFormat/>
    <w:pPr>
      <w:spacing w:line="240" w:lineRule="auto"/>
    </w:pPr>
    <w:rPr>
      <w:rFonts w:ascii="Segoe UI" w:hAnsi="Segoe UI" w:cs="Segoe UI"/>
      <w:sz w:val="18"/>
      <w:szCs w:val="18"/>
    </w:rPr>
  </w:style>
  <w:style w:type="paragraph" w:styleId="Notedebasdepage">
    <w:name w:val="footnote text"/>
    <w:basedOn w:val="Normal"/>
    <w:uiPriority w:val="99"/>
    <w:pPr>
      <w:spacing w:line="240" w:lineRule="auto"/>
    </w:pPr>
    <w:rPr>
      <w:rFonts w:eastAsia="Times New Roman" w:cs="Times New Roman"/>
      <w:sz w:val="20"/>
      <w:szCs w:val="20"/>
      <w:lang w:eastAsia="fr-FR"/>
    </w:rPr>
  </w:style>
  <w:style w:type="paragraph" w:styleId="TM1">
    <w:name w:val="toc 1"/>
    <w:basedOn w:val="Normal"/>
    <w:autoRedefine/>
    <w:uiPriority w:val="39"/>
    <w:pPr>
      <w:widowControl w:val="0"/>
      <w:spacing w:before="113" w:after="57" w:line="240" w:lineRule="auto"/>
    </w:pPr>
    <w:rPr>
      <w:rFonts w:eastAsia="Courier New" w:cs="Courier New"/>
      <w:b/>
      <w:sz w:val="32"/>
      <w:szCs w:val="32"/>
      <w:lang w:eastAsia="fr-FR" w:bidi="fr-FR"/>
    </w:rPr>
  </w:style>
  <w:style w:type="paragraph" w:styleId="NormalWeb">
    <w:name w:val="Normal (Web)"/>
    <w:basedOn w:val="Normal"/>
    <w:uiPriority w:val="99"/>
    <w:qFormat/>
    <w:pPr>
      <w:spacing w:before="280" w:after="280" w:line="240" w:lineRule="auto"/>
    </w:pPr>
    <w:rPr>
      <w:rFonts w:eastAsia="Times New Roman" w:cs="Times New Roman"/>
      <w:sz w:val="24"/>
      <w:szCs w:val="24"/>
      <w:lang w:eastAsia="fr-FR"/>
    </w:rPr>
  </w:style>
  <w:style w:type="paragraph" w:customStyle="1" w:styleId="Default">
    <w:name w:val="Default"/>
    <w:qFormat/>
    <w:rPr>
      <w:rFonts w:ascii="Arial" w:hAnsi="Arial" w:cs="Arial"/>
      <w:color w:val="000000"/>
      <w:sz w:val="24"/>
      <w:szCs w:val="24"/>
    </w:rPr>
  </w:style>
  <w:style w:type="paragraph" w:customStyle="1" w:styleId="rtejustify">
    <w:name w:val="rtejustify"/>
    <w:basedOn w:val="Normal"/>
    <w:qFormat/>
    <w:pPr>
      <w:spacing w:before="280" w:after="280" w:line="240" w:lineRule="auto"/>
    </w:pPr>
    <w:rPr>
      <w:rFonts w:eastAsia="Times New Roman" w:cs="Times New Roman"/>
      <w:sz w:val="24"/>
      <w:szCs w:val="24"/>
      <w:lang w:eastAsia="fr-FR"/>
    </w:rPr>
  </w:style>
  <w:style w:type="paragraph" w:customStyle="1" w:styleId="footnotedescription">
    <w:name w:val="footnote description"/>
    <w:next w:val="Normal"/>
    <w:qFormat/>
    <w:rsid w:val="00575E7D"/>
    <w:pPr>
      <w:spacing w:line="259" w:lineRule="auto"/>
      <w:jc w:val="both"/>
    </w:pPr>
    <w:rPr>
      <w:rFonts w:cs="Calibri"/>
      <w:u w:color="0563C1"/>
      <w:lang w:eastAsia="fr-FR"/>
    </w:rPr>
  </w:style>
  <w:style w:type="paragraph" w:styleId="En-ttedetabledesmatires">
    <w:name w:val="TOC Heading"/>
    <w:basedOn w:val="Titre1"/>
    <w:next w:val="Normal"/>
    <w:qFormat/>
    <w:pPr>
      <w:keepLines/>
      <w:suppressAutoHyphens w:val="0"/>
      <w:spacing w:after="0" w:line="259" w:lineRule="auto"/>
    </w:pPr>
    <w:rPr>
      <w:rFonts w:ascii="Calibri Light" w:eastAsia="Calibri" w:hAnsi="Calibri Light" w:cs="Tahoma"/>
      <w:b w:val="0"/>
      <w:color w:val="2E74B5"/>
      <w:sz w:val="32"/>
      <w:szCs w:val="32"/>
      <w:lang w:eastAsia="fr-FR"/>
    </w:rPr>
  </w:style>
  <w:style w:type="paragraph" w:styleId="TM2">
    <w:name w:val="toc 2"/>
    <w:basedOn w:val="Normal"/>
    <w:next w:val="Normal"/>
    <w:autoRedefine/>
    <w:uiPriority w:val="39"/>
    <w:pPr>
      <w:ind w:left="113"/>
    </w:pPr>
  </w:style>
  <w:style w:type="paragraph" w:styleId="En-tte">
    <w:name w:val="header"/>
    <w:basedOn w:val="Normal"/>
    <w:uiPriority w:val="99"/>
    <w:pPr>
      <w:tabs>
        <w:tab w:val="center" w:pos="4536"/>
        <w:tab w:val="right" w:pos="9072"/>
      </w:tabs>
      <w:spacing w:line="240" w:lineRule="auto"/>
    </w:pPr>
  </w:style>
  <w:style w:type="paragraph" w:styleId="Sous-titre">
    <w:name w:val="Subtitle"/>
    <w:basedOn w:val="Normal"/>
    <w:next w:val="Normal"/>
    <w:qFormat/>
    <w:pPr>
      <w:spacing w:after="160"/>
    </w:pPr>
    <w:rPr>
      <w:color w:val="5A5A5A"/>
      <w:spacing w:val="15"/>
    </w:rPr>
  </w:style>
  <w:style w:type="paragraph" w:styleId="TitreTR">
    <w:name w:val="toa heading"/>
    <w:basedOn w:val="Titreindex"/>
  </w:style>
  <w:style w:type="paragraph" w:styleId="Titreindex">
    <w:name w:val="index heading"/>
    <w:basedOn w:val="Titre"/>
    <w:pPr>
      <w:suppressLineNumbers/>
    </w:pPr>
    <w:rPr>
      <w:b/>
      <w:bCs/>
      <w:sz w:val="32"/>
      <w:szCs w:val="32"/>
    </w:rPr>
  </w:style>
  <w:style w:type="paragraph" w:styleId="TM3">
    <w:name w:val="toc 3"/>
    <w:basedOn w:val="Index"/>
    <w:pPr>
      <w:tabs>
        <w:tab w:val="right" w:leader="dot" w:pos="8506"/>
      </w:tabs>
      <w:ind w:left="566"/>
    </w:pPr>
  </w:style>
  <w:style w:type="paragraph" w:customStyle="1" w:styleId="Contenudetableau">
    <w:name w:val="Contenu de tableau"/>
    <w:basedOn w:val="Normal"/>
    <w:qFormat/>
    <w:pPr>
      <w:suppressLineNumbers/>
    </w:pPr>
  </w:style>
  <w:style w:type="character" w:styleId="Lienhypertexte">
    <w:name w:val="Hyperlink"/>
    <w:basedOn w:val="Policepardfaut"/>
    <w:uiPriority w:val="99"/>
    <w:unhideWhenUsed/>
    <w:rsid w:val="009F6072"/>
    <w:rPr>
      <w:color w:val="0563C1" w:themeColor="hyperlink"/>
      <w:u w:val="single"/>
    </w:rPr>
  </w:style>
  <w:style w:type="table" w:styleId="Grilledutableau">
    <w:name w:val="Table Grid"/>
    <w:basedOn w:val="TableauNormal"/>
    <w:uiPriority w:val="3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vision">
    <w:name w:val="Revision"/>
    <w:hidden/>
    <w:uiPriority w:val="99"/>
    <w:semiHidden/>
    <w:rsid w:val="00536BD5"/>
    <w:pPr>
      <w:suppressAutoHyphens w:val="0"/>
    </w:pPr>
    <w:rPr>
      <w:sz w:val="22"/>
    </w:rPr>
  </w:style>
  <w:style w:type="character" w:customStyle="1" w:styleId="clearfix">
    <w:name w:val="clearfix"/>
    <w:basedOn w:val="Policepardfaut"/>
    <w:qFormat/>
    <w:rsid w:val="002F4ED6"/>
  </w:style>
  <w:style w:type="character" w:customStyle="1" w:styleId="a-list-item">
    <w:name w:val="a-list-item"/>
    <w:basedOn w:val="Policepardfaut"/>
    <w:qFormat/>
    <w:rsid w:val="002F4ED6"/>
  </w:style>
  <w:style w:type="character" w:customStyle="1" w:styleId="a-text-bold">
    <w:name w:val="a-text-bold"/>
    <w:basedOn w:val="Policepardfaut"/>
    <w:qFormat/>
    <w:rsid w:val="002F4ED6"/>
  </w:style>
  <w:style w:type="character" w:customStyle="1" w:styleId="marquage">
    <w:name w:val="marquage"/>
    <w:basedOn w:val="Policepardfaut"/>
    <w:qFormat/>
    <w:rsid w:val="002F4ED6"/>
  </w:style>
  <w:style w:type="character" w:customStyle="1" w:styleId="format">
    <w:name w:val="format"/>
    <w:basedOn w:val="Policepardfaut"/>
    <w:qFormat/>
    <w:rsid w:val="002F4ED6"/>
  </w:style>
  <w:style w:type="character" w:customStyle="1" w:styleId="string-name">
    <w:name w:val="string-name"/>
    <w:basedOn w:val="Policepardfaut"/>
    <w:qFormat/>
    <w:rsid w:val="002F4ED6"/>
  </w:style>
  <w:style w:type="character" w:customStyle="1" w:styleId="surname">
    <w:name w:val="surname"/>
    <w:basedOn w:val="Policepardfaut"/>
    <w:qFormat/>
    <w:rsid w:val="002F4ED6"/>
  </w:style>
  <w:style w:type="character" w:customStyle="1" w:styleId="given-names">
    <w:name w:val="given-names"/>
    <w:basedOn w:val="Policepardfaut"/>
    <w:qFormat/>
    <w:rsid w:val="002F4ED6"/>
  </w:style>
  <w:style w:type="character" w:customStyle="1" w:styleId="year">
    <w:name w:val="year"/>
    <w:basedOn w:val="Policepardfaut"/>
    <w:qFormat/>
    <w:rsid w:val="002F4ED6"/>
  </w:style>
  <w:style w:type="character" w:customStyle="1" w:styleId="article-title">
    <w:name w:val="article-title"/>
    <w:basedOn w:val="Policepardfaut"/>
    <w:qFormat/>
    <w:rsid w:val="002F4ED6"/>
  </w:style>
  <w:style w:type="character" w:customStyle="1" w:styleId="source">
    <w:name w:val="source"/>
    <w:basedOn w:val="Policepardfaut"/>
    <w:qFormat/>
    <w:rsid w:val="002F4ED6"/>
  </w:style>
  <w:style w:type="character" w:customStyle="1" w:styleId="volume">
    <w:name w:val="volume"/>
    <w:basedOn w:val="Policepardfaut"/>
    <w:qFormat/>
    <w:rsid w:val="002F4ED6"/>
  </w:style>
  <w:style w:type="character" w:customStyle="1" w:styleId="fpage">
    <w:name w:val="fpage"/>
    <w:basedOn w:val="Policepardfaut"/>
    <w:qFormat/>
    <w:rsid w:val="002F4ED6"/>
  </w:style>
  <w:style w:type="character" w:customStyle="1" w:styleId="highlight">
    <w:name w:val="highlight"/>
    <w:basedOn w:val="Policepardfaut"/>
    <w:qFormat/>
    <w:rsid w:val="002F4ED6"/>
  </w:style>
  <w:style w:type="character" w:customStyle="1" w:styleId="ouvrage">
    <w:name w:val="ouvrage"/>
    <w:basedOn w:val="Policepardfaut"/>
    <w:qFormat/>
    <w:rsid w:val="002F4ED6"/>
  </w:style>
  <w:style w:type="character" w:customStyle="1" w:styleId="markedcontent">
    <w:name w:val="markedcontent"/>
    <w:basedOn w:val="Policepardfaut"/>
    <w:qFormat/>
    <w:rsid w:val="002F4ED6"/>
  </w:style>
  <w:style w:type="character" w:styleId="Appelnotedebasdep">
    <w:name w:val="footnote reference"/>
    <w:aliases w:val="LS Marque note bas de page,CG Appel note de bas page,N° note bas de page,exposant 3 point,Référence de note de bas de page,times9,Footnotes refss Car Car,Appel note de bas de p Car Car,Footnotes refss Car Char Char Char Car Car,N"/>
    <w:basedOn w:val="Policepardfaut"/>
    <w:link w:val="FootnotesrefssCar"/>
    <w:uiPriority w:val="99"/>
    <w:unhideWhenUsed/>
    <w:qFormat/>
    <w:rsid w:val="002F4ED6"/>
    <w:rPr>
      <w:vertAlign w:val="superscript"/>
    </w:rPr>
  </w:style>
  <w:style w:type="character" w:styleId="Rfrenceintense">
    <w:name w:val="Intense Reference"/>
    <w:basedOn w:val="Policepardfaut"/>
    <w:uiPriority w:val="32"/>
    <w:qFormat/>
    <w:rsid w:val="002F4ED6"/>
    <w:rPr>
      <w:b/>
      <w:bCs/>
      <w:smallCaps/>
      <w:color w:val="5B9BD5" w:themeColor="accent1"/>
      <w:spacing w:val="5"/>
    </w:rPr>
  </w:style>
  <w:style w:type="character" w:styleId="Lienhypertextesuivivisit">
    <w:name w:val="FollowedHyperlink"/>
    <w:basedOn w:val="Policepardfaut"/>
    <w:uiPriority w:val="99"/>
    <w:semiHidden/>
    <w:unhideWhenUsed/>
    <w:rsid w:val="000A6790"/>
    <w:rPr>
      <w:color w:val="954F72" w:themeColor="followedHyperlink"/>
      <w:u w:val="single"/>
    </w:rPr>
  </w:style>
  <w:style w:type="character" w:customStyle="1" w:styleId="Mentionnonrsolue1">
    <w:name w:val="Mention non résolue1"/>
    <w:basedOn w:val="Policepardfaut"/>
    <w:uiPriority w:val="99"/>
    <w:semiHidden/>
    <w:unhideWhenUsed/>
    <w:rsid w:val="00435914"/>
    <w:rPr>
      <w:color w:val="605E5C"/>
      <w:shd w:val="clear" w:color="auto" w:fill="E1DFDD"/>
    </w:rPr>
  </w:style>
  <w:style w:type="paragraph" w:customStyle="1" w:styleId="FootnotesrefssCar">
    <w:name w:val="Footnotes refss Car"/>
    <w:aliases w:val="Appel note de bas de p Car,Footnotes refss Car Char Char Char Car,callout Car Char Char Char Car,Zchn Zchn Char Char Char Char Car Char Char Char Char Char Char Char Char Char Car Char Car Char Char Char Car"/>
    <w:basedOn w:val="Normal"/>
    <w:link w:val="Appelnotedebasdep"/>
    <w:uiPriority w:val="99"/>
    <w:rsid w:val="00DA4638"/>
    <w:pPr>
      <w:suppressAutoHyphens w:val="0"/>
      <w:spacing w:after="160" w:line="240" w:lineRule="exact"/>
    </w:pPr>
    <w:rPr>
      <w:sz w:val="20"/>
      <w:vertAlign w:val="superscript"/>
    </w:rPr>
  </w:style>
  <w:style w:type="character" w:customStyle="1" w:styleId="Mentionnonrsolue2">
    <w:name w:val="Mention non résolue2"/>
    <w:basedOn w:val="Policepardfaut"/>
    <w:uiPriority w:val="99"/>
    <w:rsid w:val="00BE17C2"/>
    <w:rPr>
      <w:color w:val="605E5C"/>
      <w:shd w:val="clear" w:color="auto" w:fill="E1DFDD"/>
    </w:rPr>
  </w:style>
  <w:style w:type="character" w:styleId="Mentionnonrsolue">
    <w:name w:val="Unresolved Mention"/>
    <w:basedOn w:val="Policepardfaut"/>
    <w:uiPriority w:val="99"/>
    <w:semiHidden/>
    <w:unhideWhenUsed/>
    <w:rsid w:val="00017C87"/>
    <w:rPr>
      <w:color w:val="605E5C"/>
      <w:shd w:val="clear" w:color="auto" w:fill="E1DFDD"/>
    </w:rPr>
  </w:style>
  <w:style w:type="paragraph" w:customStyle="1" w:styleId="pf0">
    <w:name w:val="pf0"/>
    <w:basedOn w:val="Normal"/>
    <w:rsid w:val="002054DD"/>
    <w:pPr>
      <w:suppressAutoHyphens w:val="0"/>
      <w:spacing w:before="100" w:beforeAutospacing="1" w:after="100" w:afterAutospacing="1" w:line="240" w:lineRule="auto"/>
    </w:pPr>
    <w:rPr>
      <w:rFonts w:eastAsia="Times New Roman" w:cs="Times New Roman"/>
      <w:sz w:val="24"/>
      <w:szCs w:val="24"/>
      <w:lang w:eastAsia="fr-FR"/>
    </w:rPr>
  </w:style>
  <w:style w:type="character" w:customStyle="1" w:styleId="cf01">
    <w:name w:val="cf01"/>
    <w:basedOn w:val="Policepardfaut"/>
    <w:rsid w:val="002054DD"/>
    <w:rPr>
      <w:rFonts w:ascii="Segoe UI" w:hAnsi="Segoe UI" w:cs="Segoe UI" w:hint="default"/>
      <w:sz w:val="18"/>
      <w:szCs w:val="18"/>
    </w:rPr>
  </w:style>
  <w:style w:type="table" w:customStyle="1" w:styleId="Grilledutableau1">
    <w:name w:val="Grille du tableau1"/>
    <w:basedOn w:val="TableauNormal"/>
    <w:next w:val="Grilledutableau"/>
    <w:uiPriority w:val="39"/>
    <w:rsid w:val="00DC4B2F"/>
    <w:pPr>
      <w:suppressAutoHyphens w:val="0"/>
    </w:pPr>
    <w:rPr>
      <w:rFonts w:ascii="Aptos" w:eastAsia="Aptos" w:hAnsi="Aptos" w:cs="Times New Roman"/>
      <w:kern w:val="2"/>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105923">
      <w:bodyDiv w:val="1"/>
      <w:marLeft w:val="0"/>
      <w:marRight w:val="0"/>
      <w:marTop w:val="0"/>
      <w:marBottom w:val="0"/>
      <w:divBdr>
        <w:top w:val="none" w:sz="0" w:space="0" w:color="auto"/>
        <w:left w:val="none" w:sz="0" w:space="0" w:color="auto"/>
        <w:bottom w:val="none" w:sz="0" w:space="0" w:color="auto"/>
        <w:right w:val="none" w:sz="0" w:space="0" w:color="auto"/>
      </w:divBdr>
    </w:div>
    <w:div w:id="150951678">
      <w:bodyDiv w:val="1"/>
      <w:marLeft w:val="0"/>
      <w:marRight w:val="0"/>
      <w:marTop w:val="0"/>
      <w:marBottom w:val="0"/>
      <w:divBdr>
        <w:top w:val="none" w:sz="0" w:space="0" w:color="auto"/>
        <w:left w:val="none" w:sz="0" w:space="0" w:color="auto"/>
        <w:bottom w:val="none" w:sz="0" w:space="0" w:color="auto"/>
        <w:right w:val="none" w:sz="0" w:space="0" w:color="auto"/>
      </w:divBdr>
    </w:div>
    <w:div w:id="267545984">
      <w:bodyDiv w:val="1"/>
      <w:marLeft w:val="0"/>
      <w:marRight w:val="0"/>
      <w:marTop w:val="0"/>
      <w:marBottom w:val="0"/>
      <w:divBdr>
        <w:top w:val="none" w:sz="0" w:space="0" w:color="auto"/>
        <w:left w:val="none" w:sz="0" w:space="0" w:color="auto"/>
        <w:bottom w:val="none" w:sz="0" w:space="0" w:color="auto"/>
        <w:right w:val="none" w:sz="0" w:space="0" w:color="auto"/>
      </w:divBdr>
    </w:div>
    <w:div w:id="333145270">
      <w:bodyDiv w:val="1"/>
      <w:marLeft w:val="0"/>
      <w:marRight w:val="0"/>
      <w:marTop w:val="0"/>
      <w:marBottom w:val="0"/>
      <w:divBdr>
        <w:top w:val="none" w:sz="0" w:space="0" w:color="auto"/>
        <w:left w:val="none" w:sz="0" w:space="0" w:color="auto"/>
        <w:bottom w:val="none" w:sz="0" w:space="0" w:color="auto"/>
        <w:right w:val="none" w:sz="0" w:space="0" w:color="auto"/>
      </w:divBdr>
    </w:div>
    <w:div w:id="678389464">
      <w:bodyDiv w:val="1"/>
      <w:marLeft w:val="0"/>
      <w:marRight w:val="0"/>
      <w:marTop w:val="0"/>
      <w:marBottom w:val="0"/>
      <w:divBdr>
        <w:top w:val="none" w:sz="0" w:space="0" w:color="auto"/>
        <w:left w:val="none" w:sz="0" w:space="0" w:color="auto"/>
        <w:bottom w:val="none" w:sz="0" w:space="0" w:color="auto"/>
        <w:right w:val="none" w:sz="0" w:space="0" w:color="auto"/>
      </w:divBdr>
    </w:div>
    <w:div w:id="806748380">
      <w:bodyDiv w:val="1"/>
      <w:marLeft w:val="0"/>
      <w:marRight w:val="0"/>
      <w:marTop w:val="0"/>
      <w:marBottom w:val="0"/>
      <w:divBdr>
        <w:top w:val="none" w:sz="0" w:space="0" w:color="auto"/>
        <w:left w:val="none" w:sz="0" w:space="0" w:color="auto"/>
        <w:bottom w:val="none" w:sz="0" w:space="0" w:color="auto"/>
        <w:right w:val="none" w:sz="0" w:space="0" w:color="auto"/>
      </w:divBdr>
    </w:div>
    <w:div w:id="811139821">
      <w:bodyDiv w:val="1"/>
      <w:marLeft w:val="0"/>
      <w:marRight w:val="0"/>
      <w:marTop w:val="0"/>
      <w:marBottom w:val="0"/>
      <w:divBdr>
        <w:top w:val="none" w:sz="0" w:space="0" w:color="auto"/>
        <w:left w:val="none" w:sz="0" w:space="0" w:color="auto"/>
        <w:bottom w:val="none" w:sz="0" w:space="0" w:color="auto"/>
        <w:right w:val="none" w:sz="0" w:space="0" w:color="auto"/>
      </w:divBdr>
    </w:div>
    <w:div w:id="917442627">
      <w:bodyDiv w:val="1"/>
      <w:marLeft w:val="0"/>
      <w:marRight w:val="0"/>
      <w:marTop w:val="0"/>
      <w:marBottom w:val="0"/>
      <w:divBdr>
        <w:top w:val="none" w:sz="0" w:space="0" w:color="auto"/>
        <w:left w:val="none" w:sz="0" w:space="0" w:color="auto"/>
        <w:bottom w:val="none" w:sz="0" w:space="0" w:color="auto"/>
        <w:right w:val="none" w:sz="0" w:space="0" w:color="auto"/>
      </w:divBdr>
    </w:div>
    <w:div w:id="1016420819">
      <w:bodyDiv w:val="1"/>
      <w:marLeft w:val="0"/>
      <w:marRight w:val="0"/>
      <w:marTop w:val="0"/>
      <w:marBottom w:val="0"/>
      <w:divBdr>
        <w:top w:val="none" w:sz="0" w:space="0" w:color="auto"/>
        <w:left w:val="none" w:sz="0" w:space="0" w:color="auto"/>
        <w:bottom w:val="none" w:sz="0" w:space="0" w:color="auto"/>
        <w:right w:val="none" w:sz="0" w:space="0" w:color="auto"/>
      </w:divBdr>
    </w:div>
    <w:div w:id="1249922216">
      <w:bodyDiv w:val="1"/>
      <w:marLeft w:val="0"/>
      <w:marRight w:val="0"/>
      <w:marTop w:val="0"/>
      <w:marBottom w:val="0"/>
      <w:divBdr>
        <w:top w:val="none" w:sz="0" w:space="0" w:color="auto"/>
        <w:left w:val="none" w:sz="0" w:space="0" w:color="auto"/>
        <w:bottom w:val="none" w:sz="0" w:space="0" w:color="auto"/>
        <w:right w:val="none" w:sz="0" w:space="0" w:color="auto"/>
      </w:divBdr>
    </w:div>
    <w:div w:id="1499883159">
      <w:bodyDiv w:val="1"/>
      <w:marLeft w:val="0"/>
      <w:marRight w:val="0"/>
      <w:marTop w:val="0"/>
      <w:marBottom w:val="0"/>
      <w:divBdr>
        <w:top w:val="none" w:sz="0" w:space="0" w:color="auto"/>
        <w:left w:val="none" w:sz="0" w:space="0" w:color="auto"/>
        <w:bottom w:val="none" w:sz="0" w:space="0" w:color="auto"/>
        <w:right w:val="none" w:sz="0" w:space="0" w:color="auto"/>
      </w:divBdr>
    </w:div>
    <w:div w:id="1506743633">
      <w:bodyDiv w:val="1"/>
      <w:marLeft w:val="0"/>
      <w:marRight w:val="0"/>
      <w:marTop w:val="0"/>
      <w:marBottom w:val="0"/>
      <w:divBdr>
        <w:top w:val="none" w:sz="0" w:space="0" w:color="auto"/>
        <w:left w:val="none" w:sz="0" w:space="0" w:color="auto"/>
        <w:bottom w:val="none" w:sz="0" w:space="0" w:color="auto"/>
        <w:right w:val="none" w:sz="0" w:space="0" w:color="auto"/>
      </w:divBdr>
    </w:div>
    <w:div w:id="1522470803">
      <w:bodyDiv w:val="1"/>
      <w:marLeft w:val="0"/>
      <w:marRight w:val="0"/>
      <w:marTop w:val="0"/>
      <w:marBottom w:val="0"/>
      <w:divBdr>
        <w:top w:val="none" w:sz="0" w:space="0" w:color="auto"/>
        <w:left w:val="none" w:sz="0" w:space="0" w:color="auto"/>
        <w:bottom w:val="none" w:sz="0" w:space="0" w:color="auto"/>
        <w:right w:val="none" w:sz="0" w:space="0" w:color="auto"/>
      </w:divBdr>
    </w:div>
    <w:div w:id="1631396577">
      <w:bodyDiv w:val="1"/>
      <w:marLeft w:val="0"/>
      <w:marRight w:val="0"/>
      <w:marTop w:val="0"/>
      <w:marBottom w:val="0"/>
      <w:divBdr>
        <w:top w:val="none" w:sz="0" w:space="0" w:color="auto"/>
        <w:left w:val="none" w:sz="0" w:space="0" w:color="auto"/>
        <w:bottom w:val="none" w:sz="0" w:space="0" w:color="auto"/>
        <w:right w:val="none" w:sz="0" w:space="0" w:color="auto"/>
      </w:divBdr>
    </w:div>
    <w:div w:id="1764841377">
      <w:bodyDiv w:val="1"/>
      <w:marLeft w:val="0"/>
      <w:marRight w:val="0"/>
      <w:marTop w:val="0"/>
      <w:marBottom w:val="0"/>
      <w:divBdr>
        <w:top w:val="none" w:sz="0" w:space="0" w:color="auto"/>
        <w:left w:val="none" w:sz="0" w:space="0" w:color="auto"/>
        <w:bottom w:val="none" w:sz="0" w:space="0" w:color="auto"/>
        <w:right w:val="none" w:sz="0" w:space="0" w:color="auto"/>
      </w:divBdr>
    </w:div>
    <w:div w:id="1768697886">
      <w:bodyDiv w:val="1"/>
      <w:marLeft w:val="0"/>
      <w:marRight w:val="0"/>
      <w:marTop w:val="0"/>
      <w:marBottom w:val="0"/>
      <w:divBdr>
        <w:top w:val="none" w:sz="0" w:space="0" w:color="auto"/>
        <w:left w:val="none" w:sz="0" w:space="0" w:color="auto"/>
        <w:bottom w:val="none" w:sz="0" w:space="0" w:color="auto"/>
        <w:right w:val="none" w:sz="0" w:space="0" w:color="auto"/>
      </w:divBdr>
    </w:div>
    <w:div w:id="1805271470">
      <w:bodyDiv w:val="1"/>
      <w:marLeft w:val="0"/>
      <w:marRight w:val="0"/>
      <w:marTop w:val="0"/>
      <w:marBottom w:val="0"/>
      <w:divBdr>
        <w:top w:val="none" w:sz="0" w:space="0" w:color="auto"/>
        <w:left w:val="none" w:sz="0" w:space="0" w:color="auto"/>
        <w:bottom w:val="none" w:sz="0" w:space="0" w:color="auto"/>
        <w:right w:val="none" w:sz="0" w:space="0" w:color="auto"/>
      </w:divBdr>
    </w:div>
    <w:div w:id="1971086908">
      <w:bodyDiv w:val="1"/>
      <w:marLeft w:val="0"/>
      <w:marRight w:val="0"/>
      <w:marTop w:val="0"/>
      <w:marBottom w:val="0"/>
      <w:divBdr>
        <w:top w:val="none" w:sz="0" w:space="0" w:color="auto"/>
        <w:left w:val="none" w:sz="0" w:space="0" w:color="auto"/>
        <w:bottom w:val="none" w:sz="0" w:space="0" w:color="auto"/>
        <w:right w:val="none" w:sz="0" w:space="0" w:color="auto"/>
      </w:divBdr>
    </w:div>
    <w:div w:id="2065331773">
      <w:bodyDiv w:val="1"/>
      <w:marLeft w:val="0"/>
      <w:marRight w:val="0"/>
      <w:marTop w:val="0"/>
      <w:marBottom w:val="0"/>
      <w:divBdr>
        <w:top w:val="none" w:sz="0" w:space="0" w:color="auto"/>
        <w:left w:val="none" w:sz="0" w:space="0" w:color="auto"/>
        <w:bottom w:val="none" w:sz="0" w:space="0" w:color="auto"/>
        <w:right w:val="none" w:sz="0" w:space="0" w:color="auto"/>
      </w:divBdr>
    </w:div>
    <w:div w:id="2080666244">
      <w:bodyDiv w:val="1"/>
      <w:marLeft w:val="0"/>
      <w:marRight w:val="0"/>
      <w:marTop w:val="0"/>
      <w:marBottom w:val="0"/>
      <w:divBdr>
        <w:top w:val="none" w:sz="0" w:space="0" w:color="auto"/>
        <w:left w:val="none" w:sz="0" w:space="0" w:color="auto"/>
        <w:bottom w:val="none" w:sz="0" w:space="0" w:color="auto"/>
        <w:right w:val="none" w:sz="0" w:space="0" w:color="auto"/>
      </w:divBdr>
    </w:div>
    <w:div w:id="2122725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sante.gouv.fr/drees/appelprojet/doc.html" TargetMode="External"/><Relationship Id="rId18" Type="http://schemas.openxmlformats.org/officeDocument/2006/relationships/hyperlink" Target="https://doi.org/10.3917/rfas.162.0007" TargetMode="External"/><Relationship Id="rId26" Type="http://schemas.openxmlformats.org/officeDocument/2006/relationships/hyperlink" Target="https://doi.org/10.3917/ds.481.0021" TargetMode="External"/><Relationship Id="rId39" Type="http://schemas.openxmlformats.org/officeDocument/2006/relationships/hyperlink" Target="https://doi.org/10.1684/sss.2022.0232" TargetMode="External"/><Relationship Id="rId21" Type="http://schemas.openxmlformats.org/officeDocument/2006/relationships/hyperlink" Target="https://doi.org/10.3917/rfas.162.0021" TargetMode="External"/><Relationship Id="rId34" Type="http://schemas.openxmlformats.org/officeDocument/2006/relationships/hyperlink" Target="https://doi.org/10.1017/S2045796023000197" TargetMode="External"/><Relationship Id="rId42" Type="http://schemas.openxmlformats.org/officeDocument/2006/relationships/hyperlink" Target="https://doi.org/10.4000/anthropologiesante.6101" TargetMode="External"/><Relationship Id="rId47" Type="http://schemas.openxmlformats.org/officeDocument/2006/relationships/hyperlink" Target="https://drees.solidarites-sante.gouv.fr/article/sante-mentale-experience-du-travail-du-chomage-et-de-la-precarite" TargetMode="External"/><Relationship Id="rId50" Type="http://schemas.openxmlformats.org/officeDocument/2006/relationships/hyperlink" Target="https://www.legifrance.gouv.fr/affichTexte.do?cidTexte=JORFTEXT000031692573&amp;dateTexte=&amp;categorieLien=idifrance.gouv.fr/affichTexte.do;jsessionid=?cidTexte=JORFTEXT000021751388" TargetMode="External"/><Relationship Id="rId55"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917/rfas.091.0099" TargetMode="External"/><Relationship Id="rId29" Type="http://schemas.openxmlformats.org/officeDocument/2006/relationships/hyperlink" Target="https://doi.org/10.3917/pox.073.0137" TargetMode="External"/><Relationship Id="rId11" Type="http://schemas.openxmlformats.org/officeDocument/2006/relationships/image" Target="media/image4.jpeg"/><Relationship Id="rId24" Type="http://schemas.openxmlformats.org/officeDocument/2006/relationships/hyperlink" Target="https://doi.org/10.4000/conflits.18703" TargetMode="External"/><Relationship Id="rId32" Type="http://schemas.openxmlformats.org/officeDocument/2006/relationships/hyperlink" Target="https://doi.org/10.3917/dec.henck.2022.01" TargetMode="External"/><Relationship Id="rId37" Type="http://schemas.openxmlformats.org/officeDocument/2006/relationships/hyperlink" Target="https://doi.org/10.3917/rfas.162.0057" TargetMode="External"/><Relationship Id="rId40" Type="http://schemas.openxmlformats.org/officeDocument/2006/relationships/hyperlink" Target="https://www.santepubliquefrance.fr/sites/default/files/cadic_files/documents/spf00006490.pdf" TargetMode="External"/><Relationship Id="rId45" Type="http://schemas.openxmlformats.org/officeDocument/2006/relationships/hyperlink" Target="https://drees.solidarites-sante.gouv.fr/article/le-suicide-et-sa-prevention" TargetMode="External"/><Relationship Id="rId53"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doi.org/10.3917/rhiz.090.0016" TargetMode="External"/><Relationship Id="rId31" Type="http://schemas.openxmlformats.org/officeDocument/2006/relationships/hyperlink" Target="https://doi.org/10.3917/agora.097.0046" TargetMode="External"/><Relationship Id="rId44" Type="http://schemas.openxmlformats.org/officeDocument/2006/relationships/hyperlink" Target="https://drees.solidarites-sante.gouv.fr/appel-projet/appel-projet-de-recherche-apr-en-shs-repenser-la-protection-sociale-laune-des-crises" TargetMode="External"/><Relationship Id="rId52"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drees-mire@sante.gouv.fr" TargetMode="External"/><Relationship Id="rId22" Type="http://schemas.openxmlformats.org/officeDocument/2006/relationships/hyperlink" Target="https://www.ccomptes.fr/fr/publications/les-parcours-dans-lorganisation-des-soins-de-psychiatrie" TargetMode="External"/><Relationship Id="rId27" Type="http://schemas.openxmlformats.org/officeDocument/2006/relationships/hyperlink" Target="https://doi.org/10.4000/conflits.18751" TargetMode="External"/><Relationship Id="rId30" Type="http://schemas.openxmlformats.org/officeDocument/2006/relationships/hyperlink" Target="https://doi.org/10.3917/pug.gardi.2021.01" TargetMode="External"/><Relationship Id="rId35" Type="http://schemas.openxmlformats.org/officeDocument/2006/relationships/hyperlink" Target="https://doi.org/10.1163/9789004678606_005" TargetMode="External"/><Relationship Id="rId43" Type="http://schemas.openxmlformats.org/officeDocument/2006/relationships/hyperlink" Target="https://drees.solidarites-sante.gouv.fr/appel-projet/appel-projet-de-recherche-apr-les-transformations-du-travail-social-et-de" TargetMode="External"/><Relationship Id="rId48" Type="http://schemas.openxmlformats.org/officeDocument/2006/relationships/hyperlink" Target="https://drees.solidarites-sante.gouv.fr/article/formes-deconomie-collaborative-et-protection-sociale" TargetMode="External"/><Relationship Id="rId8" Type="http://schemas.openxmlformats.org/officeDocument/2006/relationships/image" Target="media/image1.png"/><Relationship Id="rId51" Type="http://schemas.openxmlformats.org/officeDocument/2006/relationships/hyperlink" Target="https://www.legifrance.gouv.fr/affichTexteArticle.do?cidTexte=JORFTEXT000019860428&amp;idArticle=JORFARTI000019860662&amp;categorieLien=cid" TargetMode="External"/><Relationship Id="rId3" Type="http://schemas.openxmlformats.org/officeDocument/2006/relationships/styles" Target="styles.xml"/><Relationship Id="rId12" Type="http://schemas.openxmlformats.org/officeDocument/2006/relationships/hyperlink" Target="mailto:drees-mire@sante.gouv.fr" TargetMode="External"/><Relationship Id="rId17" Type="http://schemas.openxmlformats.org/officeDocument/2006/relationships/hyperlink" Target="https://doi.org/10.3917/dec.bella.2020.01" TargetMode="External"/><Relationship Id="rId25" Type="http://schemas.openxmlformats.org/officeDocument/2006/relationships/hyperlink" Target="http://journals.openedition.org/sociologies/4653" TargetMode="External"/><Relationship Id="rId33" Type="http://schemas.openxmlformats.org/officeDocument/2006/relationships/hyperlink" Target="https://doi.org/10.3917/dia.248.0037" TargetMode="External"/><Relationship Id="rId38" Type="http://schemas.openxmlformats.org/officeDocument/2006/relationships/hyperlink" Target="https://hal.science/halshs-04789215" TargetMode="External"/><Relationship Id="rId46" Type="http://schemas.openxmlformats.org/officeDocument/2006/relationships/hyperlink" Target="https://drees.solidarites-sante.gouv.fr/article/les-transformations-par-les-technologies-numeriques-vues-par-les-shs-quels-usages-dans-les" TargetMode="External"/><Relationship Id="rId20" Type="http://schemas.openxmlformats.org/officeDocument/2006/relationships/hyperlink" Target="https://doi.org/10.3917/rfas.202.0097" TargetMode="External"/><Relationship Id="rId41" Type="http://schemas.openxmlformats.org/officeDocument/2006/relationships/hyperlink" Target="https://www.justice.gouv.fr/sites/default/files/2023-10/alice_simon_effets_enfermement_mineurs.pdf"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drees-mire@sante.gouv.fr" TargetMode="External"/><Relationship Id="rId23" Type="http://schemas.openxmlformats.org/officeDocument/2006/relationships/hyperlink" Target="https://doi.org/10.3917/cnrs.wang.2018.01" TargetMode="External"/><Relationship Id="rId28" Type="http://schemas.openxmlformats.org/officeDocument/2006/relationships/hyperlink" Target="https://doi.org/10.3917/scpo.estev.2025.01.0183" TargetMode="External"/><Relationship Id="rId36" Type="http://schemas.openxmlformats.org/officeDocument/2006/relationships/hyperlink" Target="https://injep.fr/wp-content/uploads/2026/07/Rapport-2026-05-Sante-mentale.pdf" TargetMode="External"/><Relationship Id="rId49" Type="http://schemas.openxmlformats.org/officeDocument/2006/relationships/hyperlink" Target="https://drees.solidarites-sante.gouv.fr/article/inegalites-sociales-de-sante"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ccne-ethique.fr/fr/avis/avis-ndeg147-du-ccne-enjeux-ethiques-relatifs-la-crise-de-la-psychiatrie" TargetMode="External"/><Relationship Id="rId1" Type="http://schemas.openxmlformats.org/officeDocument/2006/relationships/hyperlink" Target="https://www.senat.fr/notice-rapport/2021/r21-304-notice.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E5321-22E8-4F37-8125-49B941EFF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32</Pages>
  <Words>17378</Words>
  <Characters>95580</Characters>
  <Application>Microsoft Office Word</Application>
  <DocSecurity>0</DocSecurity>
  <Lines>796</Lines>
  <Paragraphs>225</Paragraphs>
  <ScaleCrop>false</ScaleCrop>
  <HeadingPairs>
    <vt:vector size="2" baseType="variant">
      <vt:variant>
        <vt:lpstr>Titre</vt:lpstr>
      </vt:variant>
      <vt:variant>
        <vt:i4>1</vt:i4>
      </vt:variant>
    </vt:vector>
  </HeadingPairs>
  <TitlesOfParts>
    <vt:vector size="1" baseType="lpstr">
      <vt:lpstr/>
    </vt:vector>
  </TitlesOfParts>
  <Company>PPT/DSI</Company>
  <LinksUpToDate>false</LinksUpToDate>
  <CharactersWithSpaces>112733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DESPRAT, Diane (DREES)</dc:creator>
  <dc:description/>
  <cp:lastModifiedBy>PAPUCHON, Adrien (DREES/SEEE/MIRE)</cp:lastModifiedBy>
  <cp:revision>6</cp:revision>
  <cp:lastPrinted>2025-02-28T10:06:00Z</cp:lastPrinted>
  <dcterms:created xsi:type="dcterms:W3CDTF">2026-09-01T12:40:00Z</dcterms:created>
  <dcterms:modified xsi:type="dcterms:W3CDTF">2026-09-01T15:10:00Z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PPT/DSI</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SIP_Label_3094c1fb-3db8-4cce-b079-9b022302847f_Enabled">
    <vt:lpwstr>true</vt:lpwstr>
  </property>
  <property fmtid="{D5CDD505-2E9C-101B-9397-08002B2CF9AE}" pid="10" name="MSIP_Label_3094c1fb-3db8-4cce-b079-9b022302847f_SetDate">
    <vt:lpwstr>2025-08-07T08:59:54Z</vt:lpwstr>
  </property>
  <property fmtid="{D5CDD505-2E9C-101B-9397-08002B2CF9AE}" pid="11" name="MSIP_Label_3094c1fb-3db8-4cce-b079-9b022302847f_Method">
    <vt:lpwstr>Standard</vt:lpwstr>
  </property>
  <property fmtid="{D5CDD505-2E9C-101B-9397-08002B2CF9AE}" pid="12" name="MSIP_Label_3094c1fb-3db8-4cce-b079-9b022302847f_Name">
    <vt:lpwstr>[Prod v5] C1 - Standard</vt:lpwstr>
  </property>
  <property fmtid="{D5CDD505-2E9C-101B-9397-08002B2CF9AE}" pid="13" name="MSIP_Label_3094c1fb-3db8-4cce-b079-9b022302847f_SiteId">
    <vt:lpwstr>035e5292-5a25-4509-bb08-a555f7d31a8b</vt:lpwstr>
  </property>
  <property fmtid="{D5CDD505-2E9C-101B-9397-08002B2CF9AE}" pid="14" name="MSIP_Label_3094c1fb-3db8-4cce-b079-9b022302847f_ActionId">
    <vt:lpwstr>74ef56ef-ace8-4a0e-ba69-fce7516f86ab</vt:lpwstr>
  </property>
  <property fmtid="{D5CDD505-2E9C-101B-9397-08002B2CF9AE}" pid="15" name="MSIP_Label_3094c1fb-3db8-4cce-b079-9b022302847f_ContentBits">
    <vt:lpwstr>0</vt:lpwstr>
  </property>
  <property fmtid="{D5CDD505-2E9C-101B-9397-08002B2CF9AE}" pid="16" name="MSIP_Label_3094c1fb-3db8-4cce-b079-9b022302847f_Tag">
    <vt:lpwstr>10, 3, 0, 1</vt:lpwstr>
  </property>
</Properties>
</file>